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7A" w:rsidRPr="0052197A" w:rsidRDefault="0052197A" w:rsidP="0052197A">
      <w:pPr>
        <w:rPr>
          <w:bCs/>
        </w:rPr>
      </w:pPr>
    </w:p>
    <w:tbl>
      <w:tblPr>
        <w:tblStyle w:val="TableGrid"/>
        <w:tblW w:w="8755" w:type="dxa"/>
        <w:shd w:val="clear" w:color="auto" w:fill="FF9900"/>
        <w:tblLook w:val="04A0" w:firstRow="1" w:lastRow="0" w:firstColumn="1" w:lastColumn="0" w:noHBand="0" w:noVBand="1"/>
      </w:tblPr>
      <w:tblGrid>
        <w:gridCol w:w="8755"/>
      </w:tblGrid>
      <w:tr w:rsidR="0052197A" w:rsidRPr="0052197A" w:rsidTr="003F7088">
        <w:tc>
          <w:tcPr>
            <w:tcW w:w="8755" w:type="dxa"/>
            <w:tcBorders>
              <w:top w:val="nil"/>
              <w:left w:val="nil"/>
              <w:bottom w:val="nil"/>
              <w:right w:val="nil"/>
            </w:tcBorders>
            <w:shd w:val="clear" w:color="auto" w:fill="FF9900"/>
          </w:tcPr>
          <w:p w:rsidR="0052197A" w:rsidRPr="0052197A" w:rsidRDefault="0052197A" w:rsidP="003F7088">
            <w:pPr>
              <w:rPr>
                <w:rFonts w:ascii="Calibri" w:hAnsi="Calibri" w:cs="Arial"/>
              </w:rPr>
            </w:pPr>
          </w:p>
        </w:tc>
      </w:tr>
    </w:tbl>
    <w:p w:rsidR="0052197A" w:rsidRPr="00A14826" w:rsidRDefault="00014515" w:rsidP="006A62E8">
      <w:pPr>
        <w:spacing w:before="200" w:line="240" w:lineRule="auto"/>
        <w:jc w:val="center"/>
        <w:rPr>
          <w:rFonts w:ascii="Calibri" w:hAnsi="Calibri" w:cs="Arial"/>
          <w:color w:val="7F7F7F" w:themeColor="text1" w:themeTint="80"/>
          <w:sz w:val="52"/>
        </w:rPr>
      </w:pPr>
      <w:sdt>
        <w:sdtPr>
          <w:rPr>
            <w:rFonts w:ascii="Calibri" w:hAnsi="Calibri" w:cs="Arial"/>
            <w:b/>
            <w:color w:val="7F7F7F" w:themeColor="text1" w:themeTint="80"/>
            <w:sz w:val="32"/>
          </w:rPr>
          <w:alias w:val="Título"/>
          <w:id w:val="358707396"/>
          <w:dataBinding w:prefixMappings="xmlns:ns0='http://schemas.openxmlformats.org/package/2006/metadata/core-properties' xmlns:ns1='http://purl.org/dc/elements/1.1/'" w:xpath="/ns0:coreProperties[1]/ns1:title[1]" w:storeItemID="{6C3C8BC8-F283-45AE-878A-BAB7291924A1}"/>
          <w:text/>
        </w:sdtPr>
        <w:sdtEndPr/>
        <w:sdtContent>
          <w:r w:rsidR="0052197A" w:rsidRPr="00E57534">
            <w:rPr>
              <w:rFonts w:ascii="Calibri" w:hAnsi="Calibri" w:cs="Arial"/>
              <w:b/>
              <w:color w:val="7F7F7F" w:themeColor="text1" w:themeTint="80"/>
              <w:sz w:val="32"/>
            </w:rPr>
            <w:t>PARALELISMO - Metas Curriculares e Aprendizagens essenciais</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00"/>
        <w:tblLook w:val="04A0" w:firstRow="1" w:lastRow="0" w:firstColumn="1" w:lastColumn="0" w:noHBand="0" w:noVBand="1"/>
      </w:tblPr>
      <w:tblGrid>
        <w:gridCol w:w="8720"/>
      </w:tblGrid>
      <w:tr w:rsidR="0052197A" w:rsidRPr="0052197A" w:rsidTr="003F7088">
        <w:trPr>
          <w:trHeight w:val="93"/>
        </w:trPr>
        <w:tc>
          <w:tcPr>
            <w:tcW w:w="9947" w:type="dxa"/>
            <w:shd w:val="clear" w:color="auto" w:fill="FF9900"/>
          </w:tcPr>
          <w:p w:rsidR="0052197A" w:rsidRPr="0052197A" w:rsidRDefault="0052197A" w:rsidP="003F7088">
            <w:pPr>
              <w:rPr>
                <w:rFonts w:ascii="Calibri" w:hAnsi="Calibri" w:cs="Arial"/>
              </w:rPr>
            </w:pPr>
          </w:p>
        </w:tc>
      </w:tr>
    </w:tbl>
    <w:p w:rsidR="0052197A" w:rsidRPr="0052197A" w:rsidRDefault="0052197A" w:rsidP="0052197A">
      <w:pPr>
        <w:pStyle w:val="Subtitle"/>
        <w:jc w:val="left"/>
        <w:rPr>
          <w:rFonts w:ascii="Calibri" w:hAnsi="Calibri" w:cs="Arial"/>
          <w:sz w:val="20"/>
        </w:rPr>
      </w:pPr>
    </w:p>
    <w:p w:rsidR="0052197A" w:rsidRPr="0052197A" w:rsidRDefault="0052197A" w:rsidP="0052197A">
      <w:pPr>
        <w:jc w:val="center"/>
        <w:rPr>
          <w:rFonts w:ascii="Calibri" w:hAnsi="Calibri" w:cs="Arial"/>
          <w:sz w:val="28"/>
          <w:szCs w:val="36"/>
        </w:rPr>
      </w:pPr>
      <w:r w:rsidRPr="0052197A">
        <w:rPr>
          <w:rFonts w:ascii="Calibri" w:hAnsi="Calibri" w:cs="Arial"/>
          <w:noProof/>
          <w:lang w:eastAsia="pt-PT"/>
        </w:rPr>
        <w:drawing>
          <wp:inline distT="0" distB="0" distL="0" distR="0" wp14:anchorId="34DDC5F8" wp14:editId="3B00795C">
            <wp:extent cx="4165308" cy="224287"/>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vital\AppData\Local\Microsoft\Windows\Temporary Internet Files\Content.Word\logo.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0597"/>
                    <a:stretch/>
                  </pic:blipFill>
                  <pic:spPr bwMode="auto">
                    <a:xfrm>
                      <a:off x="0" y="0"/>
                      <a:ext cx="4177196" cy="224927"/>
                    </a:xfrm>
                    <a:prstGeom prst="rect">
                      <a:avLst/>
                    </a:prstGeom>
                    <a:noFill/>
                    <a:ln>
                      <a:noFill/>
                    </a:ln>
                    <a:extLst>
                      <a:ext uri="{53640926-AAD7-44D8-BBD7-CCE9431645EC}">
                        <a14:shadowObscured xmlns:a14="http://schemas.microsoft.com/office/drawing/2010/main"/>
                      </a:ext>
                    </a:extLst>
                  </pic:spPr>
                </pic:pic>
              </a:graphicData>
            </a:graphic>
          </wp:inline>
        </w:drawing>
      </w:r>
    </w:p>
    <w:p w:rsidR="0052197A" w:rsidRPr="0052197A" w:rsidRDefault="0052197A" w:rsidP="0052197A">
      <w:pPr>
        <w:jc w:val="center"/>
        <w:rPr>
          <w:rFonts w:ascii="Calibri" w:hAnsi="Calibri" w:cs="Arial"/>
          <w:sz w:val="28"/>
          <w:szCs w:val="36"/>
        </w:rPr>
      </w:pPr>
    </w:p>
    <w:p w:rsidR="0052197A" w:rsidRPr="0052197A" w:rsidRDefault="0052197A">
      <w:pPr>
        <w:rPr>
          <w:bCs/>
        </w:rPr>
      </w:pPr>
    </w:p>
    <w:p w:rsidR="0052197A" w:rsidRPr="0052197A" w:rsidRDefault="0052197A">
      <w:pPr>
        <w:rPr>
          <w:bCs/>
        </w:rPr>
      </w:pPr>
    </w:p>
    <w:p w:rsidR="0052197A" w:rsidRPr="0052197A" w:rsidRDefault="0052197A" w:rsidP="0052197A">
      <w:pPr>
        <w:jc w:val="center"/>
        <w:rPr>
          <w:bCs/>
        </w:rPr>
      </w:pPr>
      <w:r>
        <w:rPr>
          <w:bCs/>
          <w:noProof/>
          <w:lang w:eastAsia="pt-PT"/>
        </w:rPr>
        <w:drawing>
          <wp:inline distT="0" distB="0" distL="0" distR="0" wp14:anchorId="1C3C9617" wp14:editId="5B56B7C3">
            <wp:extent cx="2775513" cy="240353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 6 prisma Luí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5513" cy="2403537"/>
                    </a:xfrm>
                    <a:prstGeom prst="rect">
                      <a:avLst/>
                    </a:prstGeom>
                  </pic:spPr>
                </pic:pic>
              </a:graphicData>
            </a:graphic>
          </wp:inline>
        </w:drawing>
      </w: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Default="0052197A">
      <w:pPr>
        <w:rPr>
          <w:bCs/>
        </w:rPr>
      </w:pPr>
    </w:p>
    <w:p w:rsid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sdt>
      <w:sdtPr>
        <w:rPr>
          <w:rFonts w:asciiTheme="minorHAnsi" w:eastAsiaTheme="minorHAnsi" w:hAnsiTheme="minorHAnsi" w:cstheme="minorBidi"/>
          <w:b w:val="0"/>
          <w:bCs w:val="0"/>
          <w:color w:val="BFBFBF" w:themeColor="background1" w:themeShade="BF"/>
          <w:sz w:val="22"/>
          <w:szCs w:val="22"/>
          <w:lang w:val="pt-PT" w:eastAsia="en-US"/>
        </w:rPr>
        <w:id w:val="85741299"/>
        <w:docPartObj>
          <w:docPartGallery w:val="Table of Contents"/>
          <w:docPartUnique/>
        </w:docPartObj>
      </w:sdtPr>
      <w:sdtEndPr>
        <w:rPr>
          <w:noProof/>
        </w:rPr>
      </w:sdtEndPr>
      <w:sdtContent>
        <w:p w:rsidR="0052197A" w:rsidRPr="0052197A" w:rsidRDefault="0052197A" w:rsidP="0052197A">
          <w:pPr>
            <w:pStyle w:val="TOCHeading"/>
            <w:spacing w:line="480" w:lineRule="auto"/>
            <w:jc w:val="both"/>
            <w:rPr>
              <w:b w:val="0"/>
              <w:color w:val="BFBFBF" w:themeColor="background1" w:themeShade="BF"/>
            </w:rPr>
          </w:pPr>
        </w:p>
        <w:p w:rsidR="0052197A" w:rsidRPr="00776E86" w:rsidRDefault="0052197A" w:rsidP="0052197A">
          <w:pPr>
            <w:pStyle w:val="TOC1"/>
            <w:tabs>
              <w:tab w:val="right" w:leader="dot" w:pos="8494"/>
            </w:tabs>
            <w:spacing w:line="480" w:lineRule="auto"/>
            <w:jc w:val="both"/>
            <w:rPr>
              <w:rFonts w:eastAsiaTheme="minorEastAsia"/>
              <w:b/>
              <w:noProof/>
              <w:color w:val="A6A6A6" w:themeColor="background1" w:themeShade="A6"/>
              <w:lang w:eastAsia="pt-PT"/>
            </w:rPr>
          </w:pPr>
          <w:r w:rsidRPr="0052197A">
            <w:rPr>
              <w:color w:val="BFBFBF" w:themeColor="background1" w:themeShade="BF"/>
            </w:rPr>
            <w:fldChar w:fldCharType="begin"/>
          </w:r>
          <w:r w:rsidRPr="0052197A">
            <w:rPr>
              <w:color w:val="BFBFBF" w:themeColor="background1" w:themeShade="BF"/>
            </w:rPr>
            <w:instrText xml:space="preserve"> TOC \o "1-3" \h \z \u </w:instrText>
          </w:r>
          <w:r w:rsidRPr="0052197A">
            <w:rPr>
              <w:color w:val="BFBFBF" w:themeColor="background1" w:themeShade="BF"/>
            </w:rPr>
            <w:fldChar w:fldCharType="separate"/>
          </w:r>
          <w:hyperlink w:anchor="_Toc523310724" w:history="1">
            <w:r w:rsidRPr="00776E86">
              <w:rPr>
                <w:rStyle w:val="Hyperlink"/>
                <w:b/>
                <w:noProof/>
                <w:color w:val="A6A6A6" w:themeColor="background1" w:themeShade="A6"/>
              </w:rPr>
              <w:t>Introdução</w:t>
            </w:r>
            <w:r w:rsidRPr="00776E86">
              <w:rPr>
                <w:b/>
                <w:noProof/>
                <w:webHidden/>
                <w:color w:val="A6A6A6" w:themeColor="background1" w:themeShade="A6"/>
              </w:rPr>
              <w:tab/>
            </w:r>
            <w:r w:rsidRPr="00776E86">
              <w:rPr>
                <w:b/>
                <w:noProof/>
                <w:webHidden/>
                <w:color w:val="A6A6A6" w:themeColor="background1" w:themeShade="A6"/>
              </w:rPr>
              <w:fldChar w:fldCharType="begin"/>
            </w:r>
            <w:r w:rsidRPr="00776E86">
              <w:rPr>
                <w:b/>
                <w:noProof/>
                <w:webHidden/>
                <w:color w:val="A6A6A6" w:themeColor="background1" w:themeShade="A6"/>
              </w:rPr>
              <w:instrText xml:space="preserve"> PAGEREF _Toc523310724 \h </w:instrText>
            </w:r>
            <w:r w:rsidRPr="00776E86">
              <w:rPr>
                <w:b/>
                <w:noProof/>
                <w:webHidden/>
                <w:color w:val="A6A6A6" w:themeColor="background1" w:themeShade="A6"/>
              </w:rPr>
            </w:r>
            <w:r w:rsidRPr="00776E86">
              <w:rPr>
                <w:b/>
                <w:noProof/>
                <w:webHidden/>
                <w:color w:val="A6A6A6" w:themeColor="background1" w:themeShade="A6"/>
              </w:rPr>
              <w:fldChar w:fldCharType="separate"/>
            </w:r>
            <w:r w:rsidR="00776E86">
              <w:rPr>
                <w:b/>
                <w:noProof/>
                <w:webHidden/>
                <w:color w:val="A6A6A6" w:themeColor="background1" w:themeShade="A6"/>
              </w:rPr>
              <w:t>3</w:t>
            </w:r>
            <w:r w:rsidRPr="00776E86">
              <w:rPr>
                <w:b/>
                <w:noProof/>
                <w:webHidden/>
                <w:color w:val="A6A6A6" w:themeColor="background1" w:themeShade="A6"/>
              </w:rPr>
              <w:fldChar w:fldCharType="end"/>
            </w:r>
          </w:hyperlink>
        </w:p>
        <w:p w:rsidR="0052197A" w:rsidRPr="00776E86" w:rsidRDefault="00014515" w:rsidP="0052197A">
          <w:pPr>
            <w:pStyle w:val="TOC1"/>
            <w:tabs>
              <w:tab w:val="right" w:leader="dot" w:pos="8494"/>
            </w:tabs>
            <w:spacing w:line="480" w:lineRule="auto"/>
            <w:jc w:val="both"/>
            <w:rPr>
              <w:rFonts w:eastAsiaTheme="minorEastAsia"/>
              <w:b/>
              <w:noProof/>
              <w:color w:val="A6A6A6" w:themeColor="background1" w:themeShade="A6"/>
              <w:lang w:eastAsia="pt-PT"/>
            </w:rPr>
          </w:pPr>
          <w:hyperlink w:anchor="_Toc523310725" w:history="1">
            <w:r w:rsidR="0052197A" w:rsidRPr="00776E86">
              <w:rPr>
                <w:rStyle w:val="Hyperlink"/>
                <w:b/>
                <w:noProof/>
                <w:color w:val="A6A6A6" w:themeColor="background1" w:themeShade="A6"/>
              </w:rPr>
              <w:t>Paralelismo entre as Metas Curriculares e as Aprendizagens Essenciais</w:t>
            </w:r>
            <w:r w:rsidR="0052197A" w:rsidRPr="00776E86">
              <w:rPr>
                <w:b/>
                <w:noProof/>
                <w:webHidden/>
                <w:color w:val="A6A6A6" w:themeColor="background1" w:themeShade="A6"/>
              </w:rPr>
              <w:tab/>
            </w:r>
            <w:r w:rsidR="0052197A" w:rsidRPr="00776E86">
              <w:rPr>
                <w:b/>
                <w:noProof/>
                <w:webHidden/>
                <w:color w:val="A6A6A6" w:themeColor="background1" w:themeShade="A6"/>
              </w:rPr>
              <w:fldChar w:fldCharType="begin"/>
            </w:r>
            <w:r w:rsidR="0052197A" w:rsidRPr="00776E86">
              <w:rPr>
                <w:b/>
                <w:noProof/>
                <w:webHidden/>
                <w:color w:val="A6A6A6" w:themeColor="background1" w:themeShade="A6"/>
              </w:rPr>
              <w:instrText xml:space="preserve"> PAGEREF _Toc523310725 \h </w:instrText>
            </w:r>
            <w:r w:rsidR="0052197A" w:rsidRPr="00776E86">
              <w:rPr>
                <w:b/>
                <w:noProof/>
                <w:webHidden/>
                <w:color w:val="A6A6A6" w:themeColor="background1" w:themeShade="A6"/>
              </w:rPr>
            </w:r>
            <w:r w:rsidR="0052197A" w:rsidRPr="00776E86">
              <w:rPr>
                <w:b/>
                <w:noProof/>
                <w:webHidden/>
                <w:color w:val="A6A6A6" w:themeColor="background1" w:themeShade="A6"/>
              </w:rPr>
              <w:fldChar w:fldCharType="separate"/>
            </w:r>
            <w:r w:rsidR="00776E86">
              <w:rPr>
                <w:b/>
                <w:noProof/>
                <w:webHidden/>
                <w:color w:val="A6A6A6" w:themeColor="background1" w:themeShade="A6"/>
              </w:rPr>
              <w:t>5</w:t>
            </w:r>
            <w:r w:rsidR="0052197A" w:rsidRPr="00776E86">
              <w:rPr>
                <w:b/>
                <w:noProof/>
                <w:webHidden/>
                <w:color w:val="A6A6A6" w:themeColor="background1" w:themeShade="A6"/>
              </w:rPr>
              <w:fldChar w:fldCharType="end"/>
            </w:r>
          </w:hyperlink>
        </w:p>
        <w:p w:rsidR="0052197A" w:rsidRPr="00776E86" w:rsidRDefault="00014515" w:rsidP="0052197A">
          <w:pPr>
            <w:pStyle w:val="TOC1"/>
            <w:tabs>
              <w:tab w:val="right" w:leader="dot" w:pos="8494"/>
            </w:tabs>
            <w:spacing w:line="480" w:lineRule="auto"/>
            <w:jc w:val="both"/>
            <w:rPr>
              <w:rFonts w:eastAsiaTheme="minorEastAsia"/>
              <w:b/>
              <w:noProof/>
              <w:color w:val="A6A6A6" w:themeColor="background1" w:themeShade="A6"/>
              <w:lang w:eastAsia="pt-PT"/>
            </w:rPr>
          </w:pPr>
          <w:hyperlink w:anchor="_Toc523310726" w:history="1">
            <w:r w:rsidR="0052197A" w:rsidRPr="00776E86">
              <w:rPr>
                <w:rStyle w:val="Hyperlink"/>
                <w:b/>
                <w:noProof/>
                <w:color w:val="A6A6A6" w:themeColor="background1" w:themeShade="A6"/>
              </w:rPr>
              <w:t>Principais alterações introduzidas pelas Aprendizagens Essenciais</w:t>
            </w:r>
            <w:r w:rsidR="0052197A" w:rsidRPr="00776E86">
              <w:rPr>
                <w:b/>
                <w:noProof/>
                <w:webHidden/>
                <w:color w:val="A6A6A6" w:themeColor="background1" w:themeShade="A6"/>
              </w:rPr>
              <w:tab/>
            </w:r>
            <w:r w:rsidR="0052197A" w:rsidRPr="00776E86">
              <w:rPr>
                <w:b/>
                <w:noProof/>
                <w:webHidden/>
                <w:color w:val="A6A6A6" w:themeColor="background1" w:themeShade="A6"/>
              </w:rPr>
              <w:fldChar w:fldCharType="begin"/>
            </w:r>
            <w:r w:rsidR="0052197A" w:rsidRPr="00776E86">
              <w:rPr>
                <w:b/>
                <w:noProof/>
                <w:webHidden/>
                <w:color w:val="A6A6A6" w:themeColor="background1" w:themeShade="A6"/>
              </w:rPr>
              <w:instrText xml:space="preserve"> PAGEREF _Toc523310726 \h </w:instrText>
            </w:r>
            <w:r w:rsidR="0052197A" w:rsidRPr="00776E86">
              <w:rPr>
                <w:b/>
                <w:noProof/>
                <w:webHidden/>
                <w:color w:val="A6A6A6" w:themeColor="background1" w:themeShade="A6"/>
              </w:rPr>
            </w:r>
            <w:r w:rsidR="0052197A" w:rsidRPr="00776E86">
              <w:rPr>
                <w:b/>
                <w:noProof/>
                <w:webHidden/>
                <w:color w:val="A6A6A6" w:themeColor="background1" w:themeShade="A6"/>
              </w:rPr>
              <w:fldChar w:fldCharType="separate"/>
            </w:r>
            <w:r w:rsidR="00776E86">
              <w:rPr>
                <w:b/>
                <w:noProof/>
                <w:webHidden/>
                <w:color w:val="A6A6A6" w:themeColor="background1" w:themeShade="A6"/>
              </w:rPr>
              <w:t>9</w:t>
            </w:r>
            <w:r w:rsidR="0052197A" w:rsidRPr="00776E86">
              <w:rPr>
                <w:b/>
                <w:noProof/>
                <w:webHidden/>
                <w:color w:val="A6A6A6" w:themeColor="background1" w:themeShade="A6"/>
              </w:rPr>
              <w:fldChar w:fldCharType="end"/>
            </w:r>
          </w:hyperlink>
        </w:p>
        <w:p w:rsidR="0052197A" w:rsidRPr="0052197A" w:rsidRDefault="0052197A" w:rsidP="0052197A">
          <w:pPr>
            <w:spacing w:line="480" w:lineRule="auto"/>
            <w:jc w:val="both"/>
            <w:rPr>
              <w:color w:val="BFBFBF" w:themeColor="background1" w:themeShade="BF"/>
            </w:rPr>
          </w:pPr>
          <w:r w:rsidRPr="0052197A">
            <w:rPr>
              <w:bCs/>
              <w:noProof/>
              <w:color w:val="BFBFBF" w:themeColor="background1" w:themeShade="BF"/>
            </w:rPr>
            <w:fldChar w:fldCharType="end"/>
          </w:r>
        </w:p>
      </w:sdtContent>
    </w:sdt>
    <w:p w:rsidR="00FE5B19" w:rsidRPr="0052197A" w:rsidRDefault="00FE5B19">
      <w:pPr>
        <w:rPr>
          <w:bCs/>
        </w:rPr>
      </w:pPr>
    </w:p>
    <w:p w:rsidR="00FE5B19" w:rsidRPr="0052197A" w:rsidRDefault="00FE5B19">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52197A" w:rsidRPr="0052197A" w:rsidRDefault="0052197A">
      <w:pPr>
        <w:rPr>
          <w:bCs/>
        </w:rPr>
      </w:pPr>
    </w:p>
    <w:p w:rsidR="00C1337D" w:rsidRPr="0052197A" w:rsidRDefault="0052197A" w:rsidP="0052197A">
      <w:pPr>
        <w:pStyle w:val="Heading1"/>
      </w:pPr>
      <w:bookmarkStart w:id="0" w:name="_Toc523310724"/>
      <w:r w:rsidRPr="0052197A">
        <w:rPr>
          <w:caps w:val="0"/>
        </w:rPr>
        <w:lastRenderedPageBreak/>
        <w:t>Introdução</w:t>
      </w:r>
      <w:bookmarkEnd w:id="0"/>
    </w:p>
    <w:p w:rsidR="00FE5B19" w:rsidRPr="0052197A" w:rsidRDefault="00FE5B19" w:rsidP="00FE5B19">
      <w:pPr>
        <w:rPr>
          <w:lang w:eastAsia="pt-PT"/>
        </w:rPr>
      </w:pPr>
    </w:p>
    <w:p w:rsidR="00797E19" w:rsidRPr="006A62E8" w:rsidRDefault="00797E19" w:rsidP="00797E19">
      <w:pPr>
        <w:jc w:val="both"/>
        <w:rPr>
          <w:b/>
          <w:bCs/>
          <w:i/>
        </w:rPr>
      </w:pPr>
      <w:r w:rsidRPr="006A62E8">
        <w:rPr>
          <w:b/>
          <w:bCs/>
          <w:i/>
        </w:rPr>
        <w:t>Finalidades do ensino da Matemática</w:t>
      </w:r>
    </w:p>
    <w:p w:rsidR="00797E19" w:rsidRPr="0052197A" w:rsidRDefault="00797E19" w:rsidP="00797E19">
      <w:pPr>
        <w:jc w:val="both"/>
        <w:rPr>
          <w:bCs/>
          <w:i/>
        </w:rPr>
      </w:pPr>
      <w:r w:rsidRPr="0052197A">
        <w:rPr>
          <w:bCs/>
          <w:i/>
        </w:rPr>
        <w:t>Respeitando os princípios de equidade e qualidade, o ensino da Matemática, ao nível da escolaridade básica, deve visar aprendizagens matemáticas relevantes e sustentáveis para todos os alunos. Neste sentido, privilegia-se uma aprendizagem da Matemática com compreensão, bem como o desenvolvimento da capacidade de os alunos em utilizá-la em contextos matemáticos e não matemáticos ao longo da escolaridade, e nos diversos domínios disciplinares, por forma a contribuir não só para a sua autorrealização enquanto estudantes, como também na sua vida futura pessoal, profissional e social.</w:t>
      </w:r>
    </w:p>
    <w:p w:rsidR="00797E19" w:rsidRPr="0052197A" w:rsidRDefault="00797E19" w:rsidP="00797E19">
      <w:pPr>
        <w:jc w:val="both"/>
        <w:rPr>
          <w:bCs/>
          <w:i/>
        </w:rPr>
      </w:pPr>
      <w:r w:rsidRPr="0052197A">
        <w:rPr>
          <w:bCs/>
          <w:i/>
        </w:rPr>
        <w:t>Na escolaridade básica, o ensino da Matemática deve, pois, proporcionar uma formação na disciplina centrada na aprendizagem que contribua para o desenvolvimento pessoal e lhe propicie a apropriação de instrumentos conceptuais e técnicos necessários na aprendizagem de outras disciplinas ao longo do seu percurso académico, qualquer que seja a área de prosseguimento de estudos escolhida. Deve contribuir igualmente para a atividade profissional por que venha a optar e para o exercício de uma cidadania crítica e participação na sociedade, com sentido de autonomia e colaboração, liberdade e responsabilidade.</w:t>
      </w:r>
    </w:p>
    <w:p w:rsidR="00797E19" w:rsidRPr="0052197A" w:rsidRDefault="00797E19" w:rsidP="00797E19">
      <w:pPr>
        <w:jc w:val="both"/>
        <w:rPr>
          <w:bCs/>
          <w:i/>
        </w:rPr>
      </w:pPr>
      <w:r w:rsidRPr="0052197A">
        <w:rPr>
          <w:bCs/>
          <w:i/>
        </w:rPr>
        <w:t>O ensino da Matemática neste nível deve ainda proporcionar uma formação que promova nos alunos uma relação positiva com a disciplina, bem como uma visão da Matemática que corresponda à sua natureza enquanto ciência e integre o reconhecimento do seu valor cultural e social, nomeadamente no que se refere ao seu papel no desenvolvimento das diversas ciências, da tecnologia e de outras áreas da atividade humana.</w:t>
      </w:r>
    </w:p>
    <w:p w:rsidR="00797E19" w:rsidRPr="0052197A" w:rsidRDefault="00797E19" w:rsidP="00797E19">
      <w:pPr>
        <w:jc w:val="both"/>
        <w:rPr>
          <w:bCs/>
          <w:i/>
        </w:rPr>
      </w:pPr>
      <w:r w:rsidRPr="0052197A">
        <w:rPr>
          <w:bCs/>
          <w:i/>
        </w:rPr>
        <w:t>Assim, na escolaridade básica, o ensino da Matemática deve ser norteado pelas seguintes finalidades principais:</w:t>
      </w:r>
    </w:p>
    <w:p w:rsidR="00797E19" w:rsidRPr="006A62E8" w:rsidRDefault="00797E19" w:rsidP="00797E19">
      <w:pPr>
        <w:tabs>
          <w:tab w:val="left" w:pos="426"/>
        </w:tabs>
        <w:ind w:left="426"/>
        <w:jc w:val="both"/>
        <w:rPr>
          <w:b/>
          <w:bCs/>
          <w:i/>
        </w:rPr>
      </w:pPr>
      <w:r w:rsidRPr="006A62E8">
        <w:rPr>
          <w:b/>
          <w:bCs/>
          <w:i/>
        </w:rPr>
        <w:t xml:space="preserve">a) Promover a aquisição e desenvolvimento de conhecimento e experiência em Matemática e a capacidade da sua aplicação em contextos matemáticos e não matemáticos. </w:t>
      </w:r>
    </w:p>
    <w:p w:rsidR="00797E19" w:rsidRPr="0052197A" w:rsidRDefault="00797E19" w:rsidP="00797E19">
      <w:pPr>
        <w:jc w:val="both"/>
        <w:rPr>
          <w:bCs/>
          <w:i/>
        </w:rPr>
      </w:pPr>
      <w:r w:rsidRPr="0052197A">
        <w:rPr>
          <w:bCs/>
          <w:i/>
        </w:rPr>
        <w:t xml:space="preserve">Com esta finalidade pretende-se que, ao longo da escolaridade básica, os alunos compreendam os procedimentos, técnicas, conceitos, propriedades e relações matemáticas, e desenvolvam a capacidade de os utilizar para analisar, interpretar e resolver situações em contextos variados; desenvolvam capacidade de abstração e generalização e de compreender e elaborar raciocínios lógicos e outras formas de argumentação matemática; desenvolvam a capacidade de resolver e formular problemas, incluindo os que envolvem áreas matemáticas diferentes e problemas de modelação matemática; adquiram o vocabulário e linguagem próprios da Matemática e desenvolvam a capacidade de comunicar em Matemática, por forma a serem capazes de descrever, explicar e justificar, oralmente e por escrito, as suas ideias, procedimentos e raciocínios, bem como os resultados e conclusões que obtêm. </w:t>
      </w:r>
    </w:p>
    <w:p w:rsidR="00797E19" w:rsidRPr="006A62E8" w:rsidRDefault="00797E19" w:rsidP="00797E19">
      <w:pPr>
        <w:tabs>
          <w:tab w:val="left" w:pos="426"/>
        </w:tabs>
        <w:ind w:left="426"/>
        <w:jc w:val="both"/>
        <w:rPr>
          <w:b/>
          <w:bCs/>
          <w:i/>
        </w:rPr>
      </w:pPr>
      <w:r w:rsidRPr="006A62E8">
        <w:rPr>
          <w:b/>
          <w:bCs/>
          <w:i/>
        </w:rPr>
        <w:lastRenderedPageBreak/>
        <w:t xml:space="preserve">b) Desenvolver atitudes positivas face à Matemática e a capacidade de reconhecer e valorizar o papel cultural e social desta ciência. </w:t>
      </w:r>
    </w:p>
    <w:p w:rsidR="00797E19" w:rsidRPr="0052197A" w:rsidRDefault="00797E19" w:rsidP="00797E19">
      <w:pPr>
        <w:jc w:val="both"/>
        <w:rPr>
          <w:bCs/>
          <w:i/>
        </w:rPr>
      </w:pPr>
      <w:r w:rsidRPr="0052197A">
        <w:rPr>
          <w:bCs/>
          <w:i/>
        </w:rPr>
        <w:t xml:space="preserve">Com esta finalidade pretende-se que, ao longo da escolaridade básica, os alunos desenvolvam interesse pela Matemática e confiança nos seus conhecimentos e capacidades matemáticas, bem como persistência, autonomia e à-vontade em lidar com situações que envolvam Matemática no seu percurso académico e que venham a enfrentar na sua vida em sociedade; desenvolvam a capacidade de apreciar aspetos estéticos da Matemática e de reconhecer e valorizar o papel da Matemática no desenvolvimento das outras ciências, da tecnologia e de outros domínios da atividade humana; desenvolvam a capacidade de reconhecer e valorizar a Matemática como elemento do património cultural da humanidade. </w:t>
      </w:r>
    </w:p>
    <w:p w:rsidR="00797E19" w:rsidRPr="0052197A" w:rsidRDefault="00797E19" w:rsidP="00797E19">
      <w:pPr>
        <w:jc w:val="both"/>
        <w:rPr>
          <w:bCs/>
          <w:i/>
        </w:rPr>
      </w:pPr>
      <w:r w:rsidRPr="0052197A">
        <w:rPr>
          <w:bCs/>
          <w:i/>
        </w:rPr>
        <w:t xml:space="preserve">Estas finalidades enquadram, fundamentam e dão um sentido global às Aprendizagens Essenciais (AE) para cada tema matemático em cada um dos três ciclos do ensino básico, sendo entendidas como “os conteúdos de conhecimento disciplinar estruturado, indispensáveis, articulados conceptualmente, relevantes e significativos, bem como de capacidades e atitudes a desenvolver obrigatoriamente por todos os alunos em cada área disciplinar ou disciplina” (Decreto-Lei n.º 55/2018, de 6 de julho). As AE apresentadas constituem, para cada tema matemático, um todo integrado e articulado de </w:t>
      </w:r>
      <w:r w:rsidRPr="006A62E8">
        <w:rPr>
          <w:b/>
          <w:bCs/>
          <w:i/>
        </w:rPr>
        <w:t>conteúdos</w:t>
      </w:r>
      <w:r w:rsidRPr="0052197A">
        <w:rPr>
          <w:bCs/>
          <w:i/>
        </w:rPr>
        <w:t xml:space="preserve">, </w:t>
      </w:r>
      <w:r w:rsidRPr="006A62E8">
        <w:rPr>
          <w:b/>
          <w:bCs/>
          <w:i/>
        </w:rPr>
        <w:t>objetivos</w:t>
      </w:r>
      <w:r w:rsidRPr="0052197A">
        <w:rPr>
          <w:bCs/>
          <w:i/>
        </w:rPr>
        <w:t xml:space="preserve"> e </w:t>
      </w:r>
      <w:r w:rsidRPr="006A62E8">
        <w:rPr>
          <w:b/>
          <w:bCs/>
          <w:i/>
        </w:rPr>
        <w:t>práticas de aprendizagem</w:t>
      </w:r>
      <w:r w:rsidRPr="0052197A">
        <w:rPr>
          <w:bCs/>
          <w:i/>
        </w:rPr>
        <w:t xml:space="preserve"> interrelacionados e indissociáveis. Os </w:t>
      </w:r>
      <w:r w:rsidRPr="006A62E8">
        <w:rPr>
          <w:b/>
          <w:bCs/>
          <w:i/>
        </w:rPr>
        <w:t>objetivos</w:t>
      </w:r>
      <w:r w:rsidRPr="0052197A">
        <w:rPr>
          <w:bCs/>
          <w:i/>
        </w:rPr>
        <w:t xml:space="preserve"> concretizam as aprendizagens essenciais relativas a cada </w:t>
      </w:r>
      <w:r w:rsidRPr="006A62E8">
        <w:rPr>
          <w:b/>
          <w:bCs/>
          <w:i/>
        </w:rPr>
        <w:t>conteúdo</w:t>
      </w:r>
      <w:r w:rsidRPr="0052197A">
        <w:rPr>
          <w:bCs/>
          <w:i/>
        </w:rPr>
        <w:t xml:space="preserve">, incidindo sobre conhecimentos, capacidades e atitudes a adquirir e a desenvolver, e as </w:t>
      </w:r>
      <w:r w:rsidRPr="006A62E8">
        <w:rPr>
          <w:b/>
          <w:bCs/>
          <w:i/>
        </w:rPr>
        <w:t>práticas</w:t>
      </w:r>
      <w:r w:rsidRPr="0052197A">
        <w:rPr>
          <w:bCs/>
          <w:i/>
        </w:rPr>
        <w:t xml:space="preserve"> estabelecem condições que apoiam e favorecem a consecução desses objetivos. </w:t>
      </w:r>
    </w:p>
    <w:p w:rsidR="00797E19" w:rsidRPr="0052197A" w:rsidRDefault="00797E19" w:rsidP="00797E19">
      <w:pPr>
        <w:jc w:val="both"/>
        <w:rPr>
          <w:bCs/>
          <w:i/>
        </w:rPr>
      </w:pPr>
      <w:r w:rsidRPr="0052197A">
        <w:rPr>
          <w:bCs/>
          <w:i/>
        </w:rPr>
        <w:t xml:space="preserve">Assim, a </w:t>
      </w:r>
      <w:r w:rsidRPr="006A62E8">
        <w:rPr>
          <w:b/>
          <w:bCs/>
          <w:i/>
        </w:rPr>
        <w:t>aquisição</w:t>
      </w:r>
      <w:r w:rsidRPr="0052197A">
        <w:rPr>
          <w:bCs/>
          <w:i/>
        </w:rPr>
        <w:t xml:space="preserve"> e </w:t>
      </w:r>
      <w:r w:rsidRPr="006A62E8">
        <w:rPr>
          <w:b/>
          <w:bCs/>
          <w:i/>
        </w:rPr>
        <w:t>desenvolvimento</w:t>
      </w:r>
      <w:r w:rsidRPr="0052197A">
        <w:rPr>
          <w:bCs/>
          <w:i/>
        </w:rPr>
        <w:t xml:space="preserve"> de </w:t>
      </w:r>
      <w:r w:rsidRPr="006A62E8">
        <w:rPr>
          <w:b/>
          <w:bCs/>
          <w:i/>
        </w:rPr>
        <w:t>conhecimentos</w:t>
      </w:r>
      <w:r w:rsidRPr="0052197A">
        <w:rPr>
          <w:bCs/>
          <w:i/>
        </w:rPr>
        <w:t xml:space="preserve">, </w:t>
      </w:r>
      <w:r w:rsidRPr="006A62E8">
        <w:rPr>
          <w:b/>
          <w:bCs/>
          <w:i/>
        </w:rPr>
        <w:t>capacidades</w:t>
      </w:r>
      <w:r w:rsidRPr="0052197A">
        <w:rPr>
          <w:bCs/>
          <w:i/>
        </w:rPr>
        <w:t xml:space="preserve"> e </w:t>
      </w:r>
      <w:r w:rsidRPr="006A62E8">
        <w:rPr>
          <w:b/>
          <w:bCs/>
          <w:i/>
        </w:rPr>
        <w:t>atitudes</w:t>
      </w:r>
      <w:r w:rsidRPr="0052197A">
        <w:rPr>
          <w:bCs/>
          <w:i/>
        </w:rPr>
        <w:t xml:space="preserve">, e a sua </w:t>
      </w:r>
      <w:r w:rsidRPr="006A62E8">
        <w:rPr>
          <w:b/>
          <w:bCs/>
          <w:i/>
        </w:rPr>
        <w:t>aplicação</w:t>
      </w:r>
      <w:r w:rsidRPr="0052197A">
        <w:rPr>
          <w:bCs/>
          <w:i/>
        </w:rPr>
        <w:t xml:space="preserve"> em contextos matemáticos e não matemáticos, são objetivos essenciais de aprendizagem, associados aos conteúdos de aprendizagem de cada tema matemático — sendo que os que estão definidos em termos de capacidades e as atitudes expressam também um vínculo próximo com a Matemática — e a práticas de aprendizagem que visam proporcionar condições que apoiem e favoreçam aprendizagens sustentáveis, com compreensão e transferíveis ou aplicáveis em contextos matemáticos e não matemáticos. </w:t>
      </w:r>
    </w:p>
    <w:p w:rsidR="00797E19" w:rsidRPr="0052197A" w:rsidRDefault="00797E19" w:rsidP="00797E19">
      <w:pPr>
        <w:jc w:val="both"/>
        <w:rPr>
          <w:bCs/>
          <w:i/>
          <w:sz w:val="21"/>
          <w:szCs w:val="21"/>
        </w:rPr>
      </w:pPr>
    </w:p>
    <w:p w:rsidR="003B2A39" w:rsidRPr="0052197A" w:rsidRDefault="003B2A39" w:rsidP="003B2A39">
      <w:pPr>
        <w:spacing w:after="0"/>
        <w:jc w:val="right"/>
        <w:rPr>
          <w:rFonts w:ascii="Calibri" w:hAnsi="Calibri" w:cs="Arial"/>
          <w:sz w:val="18"/>
        </w:rPr>
      </w:pPr>
      <w:r w:rsidRPr="0052197A">
        <w:rPr>
          <w:rFonts w:ascii="Calibri" w:hAnsi="Calibri" w:cs="Arial"/>
          <w:sz w:val="18"/>
        </w:rPr>
        <w:t>DGE, 20 de julho de 2018</w:t>
      </w:r>
    </w:p>
    <w:p w:rsidR="003B2A39" w:rsidRPr="0052197A" w:rsidRDefault="00014515" w:rsidP="003B2A39">
      <w:pPr>
        <w:spacing w:after="0"/>
        <w:jc w:val="right"/>
        <w:rPr>
          <w:rFonts w:ascii="Calibri" w:hAnsi="Calibri" w:cs="Arial"/>
          <w:szCs w:val="28"/>
        </w:rPr>
      </w:pPr>
      <w:hyperlink r:id="rId11" w:history="1">
        <w:r w:rsidR="003B2A39" w:rsidRPr="0052197A">
          <w:rPr>
            <w:rStyle w:val="Hyperlink"/>
            <w:rFonts w:ascii="Calibri" w:hAnsi="Calibri" w:cs="Arial"/>
            <w:sz w:val="18"/>
          </w:rPr>
          <w:t>http://www.dge.mec.pt/aprendizagens-essenciais-ensino-basico</w:t>
        </w:r>
      </w:hyperlink>
      <w:r w:rsidR="003B2A39" w:rsidRPr="0052197A">
        <w:rPr>
          <w:rFonts w:ascii="Calibri" w:hAnsi="Calibri" w:cs="Arial"/>
          <w:sz w:val="18"/>
        </w:rPr>
        <w:t xml:space="preserve"> </w:t>
      </w:r>
    </w:p>
    <w:p w:rsidR="009E2D42" w:rsidRPr="0052197A" w:rsidRDefault="009E2D42">
      <w:pPr>
        <w:rPr>
          <w:bCs/>
        </w:rPr>
      </w:pPr>
      <w:r w:rsidRPr="0052197A">
        <w:rPr>
          <w:bCs/>
        </w:rPr>
        <w:br w:type="page"/>
      </w:r>
    </w:p>
    <w:p w:rsidR="00C1337D" w:rsidRPr="0052197A" w:rsidRDefault="00240584" w:rsidP="0052197A">
      <w:pPr>
        <w:pStyle w:val="Heading1"/>
        <w:ind w:left="-567"/>
        <w:rPr>
          <w:caps w:val="0"/>
          <w:sz w:val="24"/>
        </w:rPr>
      </w:pPr>
      <w:bookmarkStart w:id="1" w:name="_Toc523310725"/>
      <w:r w:rsidRPr="0052197A">
        <w:rPr>
          <w:caps w:val="0"/>
          <w:sz w:val="24"/>
        </w:rPr>
        <w:lastRenderedPageBreak/>
        <w:t>Paralelismo entre as Metas Curriculares e as Aprendizagens Essenciais</w:t>
      </w:r>
      <w:bookmarkEnd w:id="1"/>
    </w:p>
    <w:tbl>
      <w:tblPr>
        <w:tblStyle w:val="MediumShading1-Accent5"/>
        <w:tblW w:w="9697" w:type="dxa"/>
        <w:jc w:val="center"/>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Layout w:type="fixed"/>
        <w:tblLook w:val="04A0" w:firstRow="1" w:lastRow="0" w:firstColumn="1" w:lastColumn="0" w:noHBand="0" w:noVBand="1"/>
      </w:tblPr>
      <w:tblGrid>
        <w:gridCol w:w="1484"/>
        <w:gridCol w:w="4380"/>
        <w:gridCol w:w="3833"/>
      </w:tblGrid>
      <w:tr w:rsidR="0021454C" w:rsidRPr="0052197A" w:rsidTr="0052197A">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1531" w:type="dxa"/>
            <w:tcBorders>
              <w:top w:val="none" w:sz="0" w:space="0" w:color="auto"/>
              <w:left w:val="none" w:sz="0" w:space="0" w:color="auto"/>
              <w:bottom w:val="none" w:sz="0" w:space="0" w:color="auto"/>
              <w:right w:val="none" w:sz="0" w:space="0" w:color="auto"/>
            </w:tcBorders>
            <w:shd w:val="clear" w:color="auto" w:fill="F79646" w:themeFill="accent6"/>
            <w:vAlign w:val="center"/>
          </w:tcPr>
          <w:p w:rsidR="003C1FDF" w:rsidRPr="006A62E8" w:rsidRDefault="003C1FDF" w:rsidP="005E3A1A">
            <w:pPr>
              <w:jc w:val="center"/>
              <w:rPr>
                <w:sz w:val="20"/>
              </w:rPr>
            </w:pPr>
            <w:r w:rsidRPr="00954A80">
              <w:rPr>
                <w:sz w:val="20"/>
              </w:rPr>
              <w:t>Domínio</w:t>
            </w:r>
            <w:r w:rsidR="00556DB8" w:rsidRPr="00954A80">
              <w:rPr>
                <w:sz w:val="20"/>
              </w:rPr>
              <w:t>/Tema</w:t>
            </w:r>
          </w:p>
        </w:tc>
        <w:tc>
          <w:tcPr>
            <w:tcW w:w="4536" w:type="dxa"/>
            <w:tcBorders>
              <w:top w:val="none" w:sz="0" w:space="0" w:color="auto"/>
              <w:left w:val="none" w:sz="0" w:space="0" w:color="auto"/>
              <w:bottom w:val="none" w:sz="0" w:space="0" w:color="auto"/>
              <w:right w:val="none" w:sz="0" w:space="0" w:color="auto"/>
            </w:tcBorders>
            <w:shd w:val="clear" w:color="auto" w:fill="F79646" w:themeFill="accent6"/>
            <w:vAlign w:val="center"/>
          </w:tcPr>
          <w:p w:rsidR="003C1FDF" w:rsidRPr="006A62E8" w:rsidRDefault="003C1FDF" w:rsidP="005E3A1A">
            <w:pPr>
              <w:jc w:val="center"/>
              <w:cnfStyle w:val="100000000000" w:firstRow="1" w:lastRow="0" w:firstColumn="0" w:lastColumn="0" w:oddVBand="0" w:evenVBand="0" w:oddHBand="0" w:evenHBand="0" w:firstRowFirstColumn="0" w:firstRowLastColumn="0" w:lastRowFirstColumn="0" w:lastRowLastColumn="0"/>
              <w:rPr>
                <w:sz w:val="20"/>
              </w:rPr>
            </w:pPr>
            <w:r w:rsidRPr="00954A80">
              <w:rPr>
                <w:sz w:val="20"/>
              </w:rPr>
              <w:t>Metas Curriculares</w:t>
            </w:r>
          </w:p>
        </w:tc>
        <w:tc>
          <w:tcPr>
            <w:tcW w:w="3969" w:type="dxa"/>
            <w:tcBorders>
              <w:top w:val="none" w:sz="0" w:space="0" w:color="auto"/>
              <w:left w:val="none" w:sz="0" w:space="0" w:color="auto"/>
              <w:bottom w:val="none" w:sz="0" w:space="0" w:color="auto"/>
              <w:right w:val="none" w:sz="0" w:space="0" w:color="auto"/>
            </w:tcBorders>
            <w:shd w:val="clear" w:color="auto" w:fill="F79646" w:themeFill="accent6"/>
            <w:vAlign w:val="center"/>
          </w:tcPr>
          <w:p w:rsidR="003C1FDF" w:rsidRPr="006A62E8" w:rsidRDefault="003C1FDF" w:rsidP="005E3A1A">
            <w:pPr>
              <w:jc w:val="center"/>
              <w:cnfStyle w:val="100000000000" w:firstRow="1" w:lastRow="0" w:firstColumn="0" w:lastColumn="0" w:oddVBand="0" w:evenVBand="0" w:oddHBand="0" w:evenHBand="0" w:firstRowFirstColumn="0" w:firstRowLastColumn="0" w:lastRowFirstColumn="0" w:lastRowLastColumn="0"/>
              <w:rPr>
                <w:sz w:val="20"/>
              </w:rPr>
            </w:pPr>
            <w:r w:rsidRPr="00954A80">
              <w:rPr>
                <w:sz w:val="20"/>
              </w:rPr>
              <w:t>Aprendizagens Essenciais</w:t>
            </w:r>
          </w:p>
        </w:tc>
      </w:tr>
      <w:tr w:rsidR="0021454C" w:rsidRPr="0052197A" w:rsidTr="005219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1" w:type="dxa"/>
            <w:tcBorders>
              <w:right w:val="none" w:sz="0" w:space="0" w:color="auto"/>
            </w:tcBorders>
            <w:shd w:val="clear" w:color="auto" w:fill="FEF3F0"/>
            <w:textDirection w:val="btLr"/>
            <w:vAlign w:val="center"/>
          </w:tcPr>
          <w:p w:rsidR="003C1FDF" w:rsidRPr="006A62E8" w:rsidRDefault="003C1FDF" w:rsidP="00193F87">
            <w:pPr>
              <w:ind w:left="113" w:right="113"/>
              <w:jc w:val="center"/>
              <w:rPr>
                <w:sz w:val="24"/>
              </w:rPr>
            </w:pPr>
            <w:r w:rsidRPr="00954A80">
              <w:rPr>
                <w:sz w:val="24"/>
              </w:rPr>
              <w:t>Números e operações</w:t>
            </w:r>
            <w:r w:rsidR="00947DC9" w:rsidRPr="00954A80">
              <w:rPr>
                <w:sz w:val="24"/>
              </w:rPr>
              <w:t>/Álgebra</w:t>
            </w:r>
          </w:p>
        </w:tc>
        <w:tc>
          <w:tcPr>
            <w:tcW w:w="4536" w:type="dxa"/>
            <w:tcBorders>
              <w:left w:val="none" w:sz="0" w:space="0" w:color="auto"/>
              <w:right w:val="none" w:sz="0" w:space="0" w:color="auto"/>
            </w:tcBorders>
            <w:shd w:val="clear" w:color="auto" w:fill="FEF3F0"/>
          </w:tcPr>
          <w:p w:rsidR="00392DF0" w:rsidRPr="006A62E8" w:rsidRDefault="00392DF0" w:rsidP="00392DF0">
            <w:pPr>
              <w:widowControl w:val="0"/>
              <w:tabs>
                <w:tab w:val="left" w:pos="380"/>
                <w:tab w:val="left" w:pos="1000"/>
              </w:tabs>
              <w:autoSpaceDE w:val="0"/>
              <w:autoSpaceDN w:val="0"/>
              <w:adjustRightInd w:val="0"/>
              <w:spacing w:before="60" w:after="60"/>
              <w:ind w:right="113"/>
              <w:cnfStyle w:val="000000100000" w:firstRow="0" w:lastRow="0" w:firstColumn="0" w:lastColumn="0" w:oddVBand="0" w:evenVBand="0" w:oddHBand="1" w:evenHBand="0" w:firstRowFirstColumn="0" w:firstRowLastColumn="0" w:lastRowFirstColumn="0" w:lastRowLastColumn="0"/>
              <w:rPr>
                <w:b/>
                <w:sz w:val="20"/>
                <w:szCs w:val="24"/>
              </w:rPr>
            </w:pPr>
            <w:r w:rsidRPr="006A62E8">
              <w:rPr>
                <w:b/>
                <w:sz w:val="20"/>
                <w:szCs w:val="24"/>
              </w:rPr>
              <w:t xml:space="preserve">Dízimas finitas e infinitas periódicas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Caracterização das frações irredutíveis equivalentes a frações decimais;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Representação de números racionais através de dízimas finitas ou infinitas periódicas utilizando o algoritmo da divisão; período e comprimento do período de uma dízima;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Conversão em fração de uma dízima infinita periódica;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Decomposição decimal de números racionais representados por dízimas finitas, utilizando potências de base 10 e expoente inteiro;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Notação científica; aproximação, ordenação e operações em notação científica;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Definição de dízima infinita não periódica;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Representação na reta numérica de números racionais dados na forma de dízima.</w:t>
            </w:r>
          </w:p>
          <w:p w:rsidR="00392DF0" w:rsidRPr="0052197A" w:rsidRDefault="00392DF0" w:rsidP="00392DF0">
            <w:pPr>
              <w:widowControl w:val="0"/>
              <w:tabs>
                <w:tab w:val="left" w:pos="380"/>
                <w:tab w:val="left" w:pos="1000"/>
              </w:tabs>
              <w:autoSpaceDE w:val="0"/>
              <w:autoSpaceDN w:val="0"/>
              <w:adjustRightInd w:val="0"/>
              <w:spacing w:before="60" w:after="60"/>
              <w:ind w:left="113" w:right="113"/>
              <w:cnfStyle w:val="000000100000" w:firstRow="0" w:lastRow="0" w:firstColumn="0" w:lastColumn="0" w:oddVBand="0" w:evenVBand="0" w:oddHBand="1" w:evenHBand="0" w:firstRowFirstColumn="0" w:firstRowLastColumn="0" w:lastRowFirstColumn="0" w:lastRowLastColumn="0"/>
              <w:rPr>
                <w:sz w:val="20"/>
                <w:szCs w:val="24"/>
              </w:rPr>
            </w:pPr>
          </w:p>
          <w:p w:rsidR="00392DF0" w:rsidRPr="006A62E8" w:rsidRDefault="00392DF0" w:rsidP="00392DF0">
            <w:pPr>
              <w:pStyle w:val="Default"/>
              <w:cnfStyle w:val="000000100000" w:firstRow="0" w:lastRow="0" w:firstColumn="0" w:lastColumn="0" w:oddVBand="0" w:evenVBand="0" w:oddHBand="1" w:evenHBand="0" w:firstRowFirstColumn="0" w:firstRowLastColumn="0" w:lastRowFirstColumn="0" w:lastRowLastColumn="0"/>
              <w:rPr>
                <w:b/>
                <w:bCs/>
                <w:sz w:val="20"/>
                <w:szCs w:val="20"/>
              </w:rPr>
            </w:pPr>
            <w:r w:rsidRPr="006A62E8">
              <w:rPr>
                <w:b/>
                <w:bCs/>
                <w:sz w:val="20"/>
                <w:szCs w:val="20"/>
              </w:rPr>
              <w:t xml:space="preserve">Dízimas infinitas não periódicas e números reais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Pontos irracionais da reta numérica; exemplo;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Números irracionais e dízimas infinitas não periódicas;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Números reais; extensão a </w:t>
            </w:r>
            <m:oMath>
              <m:r>
                <m:rPr>
                  <m:scr m:val="double-struck"/>
                </m:rPr>
                <w:rPr>
                  <w:rFonts w:ascii="Cambria Math" w:hAnsi="Cambria Math"/>
                  <w:sz w:val="20"/>
                  <w:szCs w:val="24"/>
                </w:rPr>
                <m:t>R</m:t>
              </m:r>
            </m:oMath>
            <w:r w:rsidRPr="0052197A">
              <w:rPr>
                <w:sz w:val="20"/>
                <w:szCs w:val="24"/>
              </w:rPr>
              <w:t xml:space="preserve"> das operações conhecidas sobre</w:t>
            </w:r>
            <m:oMath>
              <m:r>
                <m:rPr>
                  <m:scr m:val="double-struck"/>
                </m:rPr>
                <w:rPr>
                  <w:rFonts w:ascii="Cambria Math" w:hAnsi="Cambria Math"/>
                  <w:sz w:val="20"/>
                  <w:szCs w:val="24"/>
                </w:rPr>
                <m:t xml:space="preserve"> Q</m:t>
              </m:r>
            </m:oMath>
            <w:r w:rsidRPr="0052197A">
              <w:rPr>
                <w:sz w:val="20"/>
                <w:szCs w:val="24"/>
              </w:rPr>
              <w:t xml:space="preserve"> e respetivas propriedades; extensão a medidas reais das propriedades envolvendo proporções entre comprimentos de segmentos;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Irracionalidade </w:t>
            </w:r>
            <w:proofErr w:type="gramStart"/>
            <w:r w:rsidRPr="0052197A">
              <w:rPr>
                <w:sz w:val="20"/>
                <w:szCs w:val="24"/>
              </w:rPr>
              <w:t>de</w:t>
            </w:r>
            <w:proofErr w:type="gramEnd"/>
            <w:r w:rsidRPr="0052197A">
              <w:rPr>
                <w:sz w:val="20"/>
                <w:szCs w:val="24"/>
              </w:rPr>
              <w:t xml:space="preserve"> </w:t>
            </w:r>
            <m:oMath>
              <m:rad>
                <m:radPr>
                  <m:degHide m:val="1"/>
                  <m:ctrlPr>
                    <w:rPr>
                      <w:rFonts w:ascii="Cambria Math" w:hAnsi="Cambria Math"/>
                      <w:i/>
                      <w:sz w:val="20"/>
                      <w:szCs w:val="24"/>
                    </w:rPr>
                  </m:ctrlPr>
                </m:radPr>
                <m:deg/>
                <m:e>
                  <m:r>
                    <w:rPr>
                      <w:rFonts w:ascii="Cambria Math" w:hAnsi="Cambria Math"/>
                      <w:sz w:val="20"/>
                      <w:szCs w:val="24"/>
                    </w:rPr>
                    <m:t>n</m:t>
                  </m:r>
                </m:e>
              </m:rad>
            </m:oMath>
            <w:r w:rsidRPr="0052197A">
              <w:rPr>
                <w:sz w:val="20"/>
                <w:szCs w:val="24"/>
              </w:rPr>
              <w:t xml:space="preserve"> </w:t>
            </w:r>
            <w:proofErr w:type="gramStart"/>
            <w:r w:rsidRPr="0052197A">
              <w:rPr>
                <w:sz w:val="20"/>
                <w:szCs w:val="24"/>
              </w:rPr>
              <w:t>para</w:t>
            </w:r>
            <w:proofErr w:type="gramEnd"/>
            <w:r w:rsidRPr="0052197A">
              <w:rPr>
                <w:sz w:val="20"/>
                <w:szCs w:val="24"/>
              </w:rPr>
              <w:t xml:space="preserve"> </w:t>
            </w:r>
            <m:oMath>
              <m:r>
                <w:rPr>
                  <w:rFonts w:ascii="Cambria Math" w:hAnsi="Cambria Math"/>
                  <w:sz w:val="20"/>
                  <w:szCs w:val="24"/>
                </w:rPr>
                <m:t>n</m:t>
              </m:r>
            </m:oMath>
            <w:r w:rsidRPr="0052197A">
              <w:rPr>
                <w:sz w:val="20"/>
                <w:szCs w:val="24"/>
              </w:rPr>
              <w:t xml:space="preserve"> natural e distinto de um quadrado perfeito;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Construção da representação de raízes quadradas de números naturais na reta numérica, utilizando o Teorema de Pitágoras; </w:t>
            </w:r>
          </w:p>
          <w:p w:rsidR="0085007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Extensão a </w:t>
            </w:r>
            <m:oMath>
              <m:r>
                <m:rPr>
                  <m:scr m:val="double-struck"/>
                </m:rPr>
                <w:rPr>
                  <w:rFonts w:ascii="Cambria Math" w:hAnsi="Cambria Math"/>
                  <w:sz w:val="20"/>
                  <w:szCs w:val="24"/>
                </w:rPr>
                <m:t>R</m:t>
              </m:r>
            </m:oMath>
            <w:r w:rsidRPr="0052197A">
              <w:rPr>
                <w:sz w:val="20"/>
                <w:szCs w:val="24"/>
              </w:rPr>
              <w:t xml:space="preserve"> da ordem </w:t>
            </w:r>
            <w:proofErr w:type="gramStart"/>
            <w:r w:rsidRPr="0052197A">
              <w:rPr>
                <w:sz w:val="20"/>
                <w:szCs w:val="24"/>
              </w:rPr>
              <w:t xml:space="preserve">em </w:t>
            </w:r>
            <m:oMath>
              <m:r>
                <m:rPr>
                  <m:scr m:val="double-struck"/>
                </m:rPr>
                <w:rPr>
                  <w:rFonts w:ascii="Cambria Math" w:hAnsi="Cambria Math"/>
                  <w:sz w:val="20"/>
                  <w:szCs w:val="24"/>
                </w:rPr>
                <m:t>Q</m:t>
              </m:r>
            </m:oMath>
            <w:proofErr w:type="gramEnd"/>
            <w:r w:rsidRPr="0052197A">
              <w:rPr>
                <w:sz w:val="20"/>
                <w:szCs w:val="24"/>
              </w:rPr>
              <w:t xml:space="preserve">; </w:t>
            </w:r>
            <w:proofErr w:type="gramStart"/>
            <w:r w:rsidRPr="0052197A">
              <w:rPr>
                <w:sz w:val="20"/>
                <w:szCs w:val="24"/>
              </w:rPr>
              <w:t>propriedades transitiva e tricotómica</w:t>
            </w:r>
            <w:proofErr w:type="gramEnd"/>
            <w:r w:rsidRPr="0052197A">
              <w:rPr>
                <w:sz w:val="20"/>
                <w:szCs w:val="24"/>
              </w:rPr>
              <w:t xml:space="preserve"> da relação de ordem; ordenação de números reais representados na forma de dízima. </w:t>
            </w:r>
          </w:p>
          <w:p w:rsidR="00947DC9" w:rsidRPr="0052197A" w:rsidRDefault="00947DC9" w:rsidP="00947DC9">
            <w:pPr>
              <w:pStyle w:val="ListParagraph"/>
              <w:widowControl w:val="0"/>
              <w:tabs>
                <w:tab w:val="left" w:pos="380"/>
                <w:tab w:val="left" w:pos="1000"/>
              </w:tabs>
              <w:autoSpaceDE w:val="0"/>
              <w:autoSpaceDN w:val="0"/>
              <w:adjustRightInd w:val="0"/>
              <w:spacing w:before="60" w:after="60"/>
              <w:ind w:left="113" w:right="113"/>
              <w:contextualSpacing w:val="0"/>
              <w:cnfStyle w:val="000000100000" w:firstRow="0" w:lastRow="0" w:firstColumn="0" w:lastColumn="0" w:oddVBand="0" w:evenVBand="0" w:oddHBand="1" w:evenHBand="0" w:firstRowFirstColumn="0" w:firstRowLastColumn="0" w:lastRowFirstColumn="0" w:lastRowLastColumn="0"/>
              <w:rPr>
                <w:sz w:val="20"/>
                <w:szCs w:val="24"/>
              </w:rPr>
            </w:pPr>
          </w:p>
          <w:p w:rsidR="00947DC9" w:rsidRPr="006A62E8" w:rsidRDefault="00947DC9" w:rsidP="00947DC9">
            <w:pPr>
              <w:pStyle w:val="Default"/>
              <w:cnfStyle w:val="000000100000" w:firstRow="0" w:lastRow="0" w:firstColumn="0" w:lastColumn="0" w:oddVBand="0" w:evenVBand="0" w:oddHBand="1" w:evenHBand="0" w:firstRowFirstColumn="0" w:firstRowLastColumn="0" w:lastRowFirstColumn="0" w:lastRowLastColumn="0"/>
              <w:rPr>
                <w:b/>
                <w:bCs/>
                <w:sz w:val="20"/>
                <w:szCs w:val="20"/>
              </w:rPr>
            </w:pPr>
            <w:r w:rsidRPr="006A62E8">
              <w:rPr>
                <w:b/>
                <w:bCs/>
                <w:sz w:val="20"/>
                <w:szCs w:val="20"/>
              </w:rPr>
              <w:t xml:space="preserve">Potências de expoente inteiro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Potência de expoente nulo;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Potência de expoente negativo;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Extensão a potências de expoente inteiro das propriedades conhecidas das potências de expoente natural. </w:t>
            </w:r>
          </w:p>
          <w:p w:rsidR="00850070" w:rsidRPr="0052197A" w:rsidRDefault="00850070" w:rsidP="00947DC9">
            <w:pPr>
              <w:widowControl w:val="0"/>
              <w:tabs>
                <w:tab w:val="left" w:pos="380"/>
                <w:tab w:val="left" w:pos="1000"/>
              </w:tabs>
              <w:autoSpaceDE w:val="0"/>
              <w:autoSpaceDN w:val="0"/>
              <w:adjustRightInd w:val="0"/>
              <w:spacing w:before="60" w:after="60"/>
              <w:ind w:right="113"/>
              <w:cnfStyle w:val="000000100000" w:firstRow="0" w:lastRow="0" w:firstColumn="0" w:lastColumn="0" w:oddVBand="0" w:evenVBand="0" w:oddHBand="1" w:evenHBand="0" w:firstRowFirstColumn="0" w:firstRowLastColumn="0" w:lastRowFirstColumn="0" w:lastRowLastColumn="0"/>
              <w:rPr>
                <w:sz w:val="20"/>
                <w:szCs w:val="24"/>
              </w:rPr>
            </w:pPr>
          </w:p>
        </w:tc>
        <w:tc>
          <w:tcPr>
            <w:tcW w:w="3969" w:type="dxa"/>
            <w:tcBorders>
              <w:left w:val="none" w:sz="0" w:space="0" w:color="auto"/>
            </w:tcBorders>
            <w:shd w:val="clear" w:color="auto" w:fill="FEF3F0"/>
          </w:tcPr>
          <w:p w:rsidR="007268DB" w:rsidRPr="0052197A" w:rsidRDefault="007268DB" w:rsidP="006B035C">
            <w:pPr>
              <w:widowControl w:val="0"/>
              <w:tabs>
                <w:tab w:val="left" w:pos="380"/>
                <w:tab w:val="left" w:pos="1000"/>
              </w:tabs>
              <w:autoSpaceDE w:val="0"/>
              <w:autoSpaceDN w:val="0"/>
              <w:adjustRightInd w:val="0"/>
              <w:spacing w:before="60" w:after="60"/>
              <w:ind w:right="113"/>
              <w:cnfStyle w:val="000000100000" w:firstRow="0" w:lastRow="0" w:firstColumn="0" w:lastColumn="0" w:oddVBand="0" w:evenVBand="0" w:oddHBand="1" w:evenHBand="0" w:firstRowFirstColumn="0" w:firstRowLastColumn="0" w:lastRowFirstColumn="0" w:lastRowLastColumn="0"/>
              <w:rPr>
                <w:sz w:val="20"/>
              </w:rPr>
            </w:pP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Reconhecer números inteiros e racionais nas suas diferentes representações, incluindo a notação científica, em contextos matemáticos e não matemáticos.</w:t>
            </w: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Identificar números irracionais (raiz quadrada de um número natural que não é um quadrado perfeito, </w:t>
            </w:r>
            <m:oMath>
              <m:r>
                <w:rPr>
                  <w:rFonts w:ascii="Cambria Math" w:hAnsi="Cambria Math"/>
                  <w:sz w:val="20"/>
                  <w:szCs w:val="24"/>
                </w:rPr>
                <m:t>π</m:t>
              </m:r>
            </m:oMath>
            <w:r w:rsidRPr="0052197A">
              <w:rPr>
                <w:sz w:val="20"/>
                <w:szCs w:val="24"/>
              </w:rPr>
              <w:t>) como números cuja representação decimal é uma dízima infinita não periódica.</w:t>
            </w: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Comparar números racionais e irracionais (raízes quadradas, </w:t>
            </w:r>
            <m:oMath>
              <m:r>
                <w:rPr>
                  <w:rFonts w:ascii="Cambria Math" w:hAnsi="Cambria Math"/>
                  <w:sz w:val="20"/>
                  <w:szCs w:val="24"/>
                </w:rPr>
                <m:t>π</m:t>
              </m:r>
            </m:oMath>
            <w:r w:rsidRPr="0052197A">
              <w:rPr>
                <w:sz w:val="20"/>
                <w:szCs w:val="24"/>
              </w:rPr>
              <w:t>), em contextos diversos, com e sem recurso à reta real.</w:t>
            </w: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Calcular, com e sem calculadora, incluindo a potenciação de expoente inteiro de números racionais, recorrendo a valores exatos e aproximados e em diferentes representações, avaliar os efeitos das operações e fazer estimativas plausíveis.</w:t>
            </w:r>
          </w:p>
          <w:p w:rsidR="00596147"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Resolver problemas com números racionais em contextos matemáticos e não matemáticos, concebendo e aplicando estratégias de resolução, incluindo a utilização de tecnologia, e avaliando a plausibilidade dos resultados.</w:t>
            </w: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Desenvolver a capacidade de abstração e de generalização, e de compreender e construir argumentos matemáticos e raciocínios lógicos. </w:t>
            </w: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Exprimir oralmente e por escrito ideias matemáticas, com precisão e rigor, para justificar raciocínios, procedimentos e conclusões, recorrendo ao vocabulário e linguagem próprios da matemática (convenções, notações, terminologia e simbologia). </w:t>
            </w:r>
          </w:p>
          <w:p w:rsidR="00596147" w:rsidRPr="0052197A" w:rsidRDefault="00596147" w:rsidP="00596147">
            <w:pPr>
              <w:widowControl w:val="0"/>
              <w:tabs>
                <w:tab w:val="left" w:pos="380"/>
                <w:tab w:val="left" w:pos="1000"/>
              </w:tabs>
              <w:autoSpaceDE w:val="0"/>
              <w:autoSpaceDN w:val="0"/>
              <w:adjustRightInd w:val="0"/>
              <w:spacing w:before="60" w:after="60"/>
              <w:ind w:right="113"/>
              <w:cnfStyle w:val="000000100000" w:firstRow="0" w:lastRow="0" w:firstColumn="0" w:lastColumn="0" w:oddVBand="0" w:evenVBand="0" w:oddHBand="1" w:evenHBand="0" w:firstRowFirstColumn="0" w:firstRowLastColumn="0" w:lastRowFirstColumn="0" w:lastRowLastColumn="0"/>
              <w:rPr>
                <w:sz w:val="20"/>
                <w:szCs w:val="24"/>
              </w:rPr>
            </w:pPr>
          </w:p>
          <w:p w:rsidR="00596147" w:rsidRPr="0052197A" w:rsidRDefault="00596147" w:rsidP="00596147">
            <w:pPr>
              <w:widowControl w:val="0"/>
              <w:tabs>
                <w:tab w:val="left" w:pos="380"/>
                <w:tab w:val="left" w:pos="1000"/>
              </w:tabs>
              <w:autoSpaceDE w:val="0"/>
              <w:autoSpaceDN w:val="0"/>
              <w:adjustRightInd w:val="0"/>
              <w:spacing w:before="60" w:after="60"/>
              <w:ind w:right="113"/>
              <w:cnfStyle w:val="000000100000" w:firstRow="0" w:lastRow="0" w:firstColumn="0" w:lastColumn="0" w:oddVBand="0" w:evenVBand="0" w:oddHBand="1" w:evenHBand="0" w:firstRowFirstColumn="0" w:firstRowLastColumn="0" w:lastRowFirstColumn="0" w:lastRowLastColumn="0"/>
              <w:rPr>
                <w:sz w:val="20"/>
                <w:szCs w:val="24"/>
              </w:rPr>
            </w:pPr>
          </w:p>
          <w:p w:rsidR="00596147" w:rsidRPr="0052197A" w:rsidRDefault="00596147" w:rsidP="00596147">
            <w:pPr>
              <w:widowControl w:val="0"/>
              <w:tabs>
                <w:tab w:val="left" w:pos="380"/>
                <w:tab w:val="left" w:pos="1000"/>
              </w:tabs>
              <w:autoSpaceDE w:val="0"/>
              <w:autoSpaceDN w:val="0"/>
              <w:adjustRightInd w:val="0"/>
              <w:spacing w:before="60" w:after="60"/>
              <w:ind w:right="113"/>
              <w:cnfStyle w:val="000000100000" w:firstRow="0" w:lastRow="0" w:firstColumn="0" w:lastColumn="0" w:oddVBand="0" w:evenVBand="0" w:oddHBand="1" w:evenHBand="0" w:firstRowFirstColumn="0" w:firstRowLastColumn="0" w:lastRowFirstColumn="0" w:lastRowLastColumn="0"/>
              <w:rPr>
                <w:sz w:val="20"/>
                <w:szCs w:val="24"/>
              </w:rPr>
            </w:pPr>
          </w:p>
          <w:p w:rsidR="00596147" w:rsidRPr="0052197A" w:rsidRDefault="00596147" w:rsidP="00596147">
            <w:pPr>
              <w:widowControl w:val="0"/>
              <w:tabs>
                <w:tab w:val="left" w:pos="380"/>
                <w:tab w:val="left" w:pos="1000"/>
              </w:tabs>
              <w:autoSpaceDE w:val="0"/>
              <w:autoSpaceDN w:val="0"/>
              <w:adjustRightInd w:val="0"/>
              <w:spacing w:before="60" w:after="60"/>
              <w:ind w:right="113"/>
              <w:cnfStyle w:val="000000100000" w:firstRow="0" w:lastRow="0" w:firstColumn="0" w:lastColumn="0" w:oddVBand="0" w:evenVBand="0" w:oddHBand="1" w:evenHBand="0" w:firstRowFirstColumn="0" w:firstRowLastColumn="0" w:lastRowFirstColumn="0" w:lastRowLastColumn="0"/>
              <w:rPr>
                <w:sz w:val="20"/>
                <w:szCs w:val="24"/>
              </w:rPr>
            </w:pPr>
          </w:p>
          <w:p w:rsidR="00596147" w:rsidRPr="0052197A" w:rsidRDefault="00596147" w:rsidP="00596147">
            <w:pPr>
              <w:widowControl w:val="0"/>
              <w:tabs>
                <w:tab w:val="left" w:pos="380"/>
                <w:tab w:val="left" w:pos="1000"/>
              </w:tabs>
              <w:autoSpaceDE w:val="0"/>
              <w:autoSpaceDN w:val="0"/>
              <w:adjustRightInd w:val="0"/>
              <w:spacing w:before="60" w:after="60"/>
              <w:ind w:right="113"/>
              <w:cnfStyle w:val="000000100000" w:firstRow="0" w:lastRow="0" w:firstColumn="0" w:lastColumn="0" w:oddVBand="0" w:evenVBand="0" w:oddHBand="1" w:evenHBand="0" w:firstRowFirstColumn="0" w:firstRowLastColumn="0" w:lastRowFirstColumn="0" w:lastRowLastColumn="0"/>
              <w:rPr>
                <w:sz w:val="20"/>
                <w:szCs w:val="24"/>
              </w:rPr>
            </w:pPr>
          </w:p>
          <w:p w:rsidR="00596147" w:rsidRPr="0052197A" w:rsidRDefault="00596147" w:rsidP="00596147">
            <w:pPr>
              <w:widowControl w:val="0"/>
              <w:tabs>
                <w:tab w:val="left" w:pos="380"/>
                <w:tab w:val="left" w:pos="1000"/>
              </w:tabs>
              <w:autoSpaceDE w:val="0"/>
              <w:autoSpaceDN w:val="0"/>
              <w:adjustRightInd w:val="0"/>
              <w:spacing w:before="60" w:after="60"/>
              <w:ind w:right="113"/>
              <w:cnfStyle w:val="000000100000" w:firstRow="0" w:lastRow="0" w:firstColumn="0" w:lastColumn="0" w:oddVBand="0" w:evenVBand="0" w:oddHBand="1" w:evenHBand="0" w:firstRowFirstColumn="0" w:firstRowLastColumn="0" w:lastRowFirstColumn="0" w:lastRowLastColumn="0"/>
              <w:rPr>
                <w:sz w:val="20"/>
                <w:szCs w:val="24"/>
              </w:rPr>
            </w:pPr>
          </w:p>
          <w:p w:rsidR="00797E19" w:rsidRPr="0052197A" w:rsidRDefault="00797E19" w:rsidP="00596147">
            <w:pPr>
              <w:widowControl w:val="0"/>
              <w:tabs>
                <w:tab w:val="left" w:pos="380"/>
                <w:tab w:val="left" w:pos="1000"/>
              </w:tabs>
              <w:autoSpaceDE w:val="0"/>
              <w:autoSpaceDN w:val="0"/>
              <w:adjustRightInd w:val="0"/>
              <w:spacing w:before="60" w:after="60"/>
              <w:ind w:right="113"/>
              <w:cnfStyle w:val="000000100000" w:firstRow="0" w:lastRow="0" w:firstColumn="0" w:lastColumn="0" w:oddVBand="0" w:evenVBand="0" w:oddHBand="1" w:evenHBand="0" w:firstRowFirstColumn="0" w:firstRowLastColumn="0" w:lastRowFirstColumn="0" w:lastRowLastColumn="0"/>
              <w:rPr>
                <w:sz w:val="20"/>
                <w:szCs w:val="24"/>
              </w:rPr>
            </w:pPr>
          </w:p>
          <w:p w:rsidR="00797E19" w:rsidRPr="0052197A" w:rsidRDefault="00797E19" w:rsidP="00596147">
            <w:pPr>
              <w:widowControl w:val="0"/>
              <w:tabs>
                <w:tab w:val="left" w:pos="380"/>
                <w:tab w:val="left" w:pos="1000"/>
              </w:tabs>
              <w:autoSpaceDE w:val="0"/>
              <w:autoSpaceDN w:val="0"/>
              <w:adjustRightInd w:val="0"/>
              <w:spacing w:before="60" w:after="60"/>
              <w:ind w:right="113"/>
              <w:cnfStyle w:val="000000100000" w:firstRow="0" w:lastRow="0" w:firstColumn="0" w:lastColumn="0" w:oddVBand="0" w:evenVBand="0" w:oddHBand="1" w:evenHBand="0" w:firstRowFirstColumn="0" w:firstRowLastColumn="0" w:lastRowFirstColumn="0" w:lastRowLastColumn="0"/>
              <w:rPr>
                <w:sz w:val="20"/>
                <w:szCs w:val="24"/>
              </w:rPr>
            </w:pPr>
          </w:p>
          <w:p w:rsidR="002E6657" w:rsidRPr="0052197A" w:rsidRDefault="002E6657" w:rsidP="00850070">
            <w:pPr>
              <w:widowControl w:val="0"/>
              <w:tabs>
                <w:tab w:val="left" w:pos="380"/>
                <w:tab w:val="left" w:pos="1000"/>
              </w:tabs>
              <w:autoSpaceDE w:val="0"/>
              <w:autoSpaceDN w:val="0"/>
              <w:adjustRightInd w:val="0"/>
              <w:spacing w:before="60" w:after="60"/>
              <w:ind w:left="113" w:right="113"/>
              <w:cnfStyle w:val="000000100000" w:firstRow="0" w:lastRow="0" w:firstColumn="0" w:lastColumn="0" w:oddVBand="0" w:evenVBand="0" w:oddHBand="1" w:evenHBand="0" w:firstRowFirstColumn="0" w:firstRowLastColumn="0" w:lastRowFirstColumn="0" w:lastRowLastColumn="0"/>
              <w:rPr>
                <w:sz w:val="20"/>
                <w:szCs w:val="24"/>
              </w:rPr>
            </w:pPr>
          </w:p>
        </w:tc>
      </w:tr>
      <w:tr w:rsidR="003C1FDF" w:rsidRPr="0052197A" w:rsidTr="005219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1" w:type="dxa"/>
            <w:tcBorders>
              <w:right w:val="none" w:sz="0" w:space="0" w:color="auto"/>
            </w:tcBorders>
            <w:shd w:val="clear" w:color="auto" w:fill="FABF8F" w:themeFill="accent6" w:themeFillTint="99"/>
            <w:textDirection w:val="btLr"/>
            <w:vAlign w:val="center"/>
          </w:tcPr>
          <w:p w:rsidR="003C1FDF" w:rsidRPr="006A62E8" w:rsidRDefault="003C1FDF" w:rsidP="005E3A1A">
            <w:pPr>
              <w:ind w:left="113" w:right="113"/>
              <w:jc w:val="center"/>
              <w:rPr>
                <w:sz w:val="24"/>
              </w:rPr>
            </w:pPr>
            <w:r w:rsidRPr="00954A80">
              <w:rPr>
                <w:sz w:val="24"/>
              </w:rPr>
              <w:lastRenderedPageBreak/>
              <w:t>Geometria e medida</w:t>
            </w:r>
          </w:p>
        </w:tc>
        <w:tc>
          <w:tcPr>
            <w:tcW w:w="4536" w:type="dxa"/>
            <w:tcBorders>
              <w:left w:val="none" w:sz="0" w:space="0" w:color="auto"/>
              <w:right w:val="none" w:sz="0" w:space="0" w:color="auto"/>
            </w:tcBorders>
            <w:shd w:val="clear" w:color="auto" w:fill="FABF8F" w:themeFill="accent6" w:themeFillTint="99"/>
          </w:tcPr>
          <w:p w:rsidR="00392DF0" w:rsidRPr="006A62E8" w:rsidRDefault="00392DF0" w:rsidP="00392DF0">
            <w:pPr>
              <w:widowControl w:val="0"/>
              <w:tabs>
                <w:tab w:val="left" w:pos="380"/>
                <w:tab w:val="left" w:pos="1000"/>
              </w:tabs>
              <w:autoSpaceDE w:val="0"/>
              <w:autoSpaceDN w:val="0"/>
              <w:adjustRightInd w:val="0"/>
              <w:spacing w:before="60" w:after="60"/>
              <w:ind w:right="113"/>
              <w:cnfStyle w:val="000000010000" w:firstRow="0" w:lastRow="0" w:firstColumn="0" w:lastColumn="0" w:oddVBand="0" w:evenVBand="0" w:oddHBand="0" w:evenHBand="1" w:firstRowFirstColumn="0" w:firstRowLastColumn="0" w:lastRowFirstColumn="0" w:lastRowLastColumn="0"/>
              <w:rPr>
                <w:b/>
                <w:sz w:val="20"/>
                <w:szCs w:val="20"/>
              </w:rPr>
            </w:pPr>
            <w:r w:rsidRPr="006A62E8">
              <w:rPr>
                <w:b/>
                <w:sz w:val="20"/>
                <w:szCs w:val="24"/>
              </w:rPr>
              <w:t>Teorema</w:t>
            </w:r>
            <w:r w:rsidRPr="006A62E8">
              <w:rPr>
                <w:b/>
                <w:bCs/>
                <w:sz w:val="20"/>
                <w:szCs w:val="20"/>
              </w:rPr>
              <w:t xml:space="preserve"> de Pitágoras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Teorema de Pitágoras e o respetivo recíproco;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Problemas envolvendo os teoremas de Pitágoras e de Tales e envolvendo a determinação de distâncias desconhecidas por utilização destes teoremas. </w:t>
            </w:r>
          </w:p>
          <w:p w:rsidR="00392DF0" w:rsidRPr="0052197A" w:rsidRDefault="00392DF0" w:rsidP="00392DF0">
            <w:pPr>
              <w:pStyle w:val="ListParagraph"/>
              <w:widowControl w:val="0"/>
              <w:tabs>
                <w:tab w:val="left" w:pos="380"/>
                <w:tab w:val="left" w:pos="1000"/>
              </w:tabs>
              <w:autoSpaceDE w:val="0"/>
              <w:autoSpaceDN w:val="0"/>
              <w:adjustRightInd w:val="0"/>
              <w:spacing w:before="60" w:after="60"/>
              <w:ind w:left="113" w:right="113"/>
              <w:contextualSpacing w:val="0"/>
              <w:cnfStyle w:val="000000010000" w:firstRow="0" w:lastRow="0" w:firstColumn="0" w:lastColumn="0" w:oddVBand="0" w:evenVBand="0" w:oddHBand="0" w:evenHBand="1" w:firstRowFirstColumn="0" w:firstRowLastColumn="0" w:lastRowFirstColumn="0" w:lastRowLastColumn="0"/>
              <w:rPr>
                <w:sz w:val="20"/>
                <w:szCs w:val="24"/>
              </w:rPr>
            </w:pPr>
          </w:p>
          <w:p w:rsidR="00392DF0" w:rsidRPr="006A62E8" w:rsidRDefault="00392DF0" w:rsidP="00392DF0">
            <w:pPr>
              <w:pStyle w:val="Default"/>
              <w:cnfStyle w:val="000000010000" w:firstRow="0" w:lastRow="0" w:firstColumn="0" w:lastColumn="0" w:oddVBand="0" w:evenVBand="0" w:oddHBand="0" w:evenHBand="1" w:firstRowFirstColumn="0" w:firstRowLastColumn="0" w:lastRowFirstColumn="0" w:lastRowLastColumn="0"/>
              <w:rPr>
                <w:b/>
                <w:bCs/>
                <w:sz w:val="20"/>
                <w:szCs w:val="20"/>
              </w:rPr>
            </w:pPr>
            <w:r w:rsidRPr="006A62E8">
              <w:rPr>
                <w:b/>
                <w:bCs/>
                <w:sz w:val="20"/>
                <w:szCs w:val="20"/>
              </w:rPr>
              <w:t xml:space="preserve">Vetores, translações e isometrias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Segmentos orientados com a mesma direção e sentido e com a mesma direção e sentidos opostos; comprimento de um segmento orientado; segmento orientado reduzido a um ponto;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Segmentos orientados equipolentes e vetores;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Vetores colineares e simétricos;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Soma de um ponto com um vetor e translação determinada por um vetor;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Composta de translações e soma de vetores; regras do triângulo e do paralelogramo; propriedades algébricas da adição algébrica de vetores;</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Translações como isometrias; caracterização pela preservação da direção e sentido dos segmentos orientados e semirretas;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Reflexões deslizantes como isometrias;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Ação das isometrias sobre as retas, as semirretas e os ângulos e respetivas amplitudes;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Classificação das isometrias do plano;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Problemas envolvendo as propriedades das isometrias do plano; </w:t>
            </w:r>
          </w:p>
          <w:p w:rsidR="00596147"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pPr>
            <w:r w:rsidRPr="0052197A">
              <w:rPr>
                <w:sz w:val="20"/>
                <w:szCs w:val="24"/>
              </w:rPr>
              <w:t>Problemas envolvendo figuras com simetrias de translação, rotação, reflexão axial e reflexão deslizante.</w:t>
            </w:r>
            <w:r w:rsidRPr="0052197A">
              <w:rPr>
                <w:sz w:val="20"/>
                <w:szCs w:val="20"/>
              </w:rPr>
              <w:t xml:space="preserve">  </w:t>
            </w:r>
          </w:p>
        </w:tc>
        <w:tc>
          <w:tcPr>
            <w:tcW w:w="3969" w:type="dxa"/>
            <w:tcBorders>
              <w:left w:val="none" w:sz="0" w:space="0" w:color="auto"/>
            </w:tcBorders>
            <w:shd w:val="clear" w:color="auto" w:fill="FABF8F" w:themeFill="accent6" w:themeFillTint="99"/>
          </w:tcPr>
          <w:p w:rsidR="004770AF" w:rsidRPr="0052197A" w:rsidRDefault="004770AF" w:rsidP="006B035C">
            <w:pPr>
              <w:widowControl w:val="0"/>
              <w:tabs>
                <w:tab w:val="left" w:pos="380"/>
                <w:tab w:val="left" w:pos="1000"/>
              </w:tabs>
              <w:autoSpaceDE w:val="0"/>
              <w:autoSpaceDN w:val="0"/>
              <w:adjustRightInd w:val="0"/>
              <w:spacing w:before="60" w:after="60"/>
              <w:ind w:right="113"/>
              <w:cnfStyle w:val="000000010000" w:firstRow="0" w:lastRow="0" w:firstColumn="0" w:lastColumn="0" w:oddVBand="0" w:evenVBand="0" w:oddHBand="0" w:evenHBand="1" w:firstRowFirstColumn="0" w:firstRowLastColumn="0" w:lastRowFirstColumn="0" w:lastRowLastColumn="0"/>
              <w:rPr>
                <w:sz w:val="20"/>
                <w:szCs w:val="24"/>
              </w:rPr>
            </w:pP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Analisar sólidos geométricos, incluindo pirâmides e cones, identificando propriedades relativas a esses sólidos, e classificá-los de acordo com essas propriedades. </w:t>
            </w: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Reconhecer o significado de fórmulas para o cálculo de áreas da superfície e de volumes de sólidos, incluindo pirâmides e cones, e usá-las na resolução de problemas em contextos matemáticos e não matemáticos. </w:t>
            </w: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Reconhecer e representar isometrias, incluindo a translação associada a um vetor, e composições simples destas transformações, usando material e instrumentos apropriados, incluindo os de tecnologia digital, e utilizá-las em contextos matemáticos e não matemáticos, prevendo e descrevendo os resultados obtidos. </w:t>
            </w: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Demonstrar o teorema de Pitágoras e utilizá-lo na resolução de problemas em contextos matemáticos e não matemáticos. </w:t>
            </w:r>
          </w:p>
          <w:p w:rsidR="00E74F6D"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pPr>
            <w:r w:rsidRPr="0052197A">
              <w:rPr>
                <w:sz w:val="20"/>
                <w:szCs w:val="24"/>
              </w:rPr>
              <w:t>Resolver problemas usando ideias geométricas em contextos matemáticos e não matemáticos, concebendo e aplicando estratégias de resolução, incluindo a utilização de tecnologia, e avaliando a plausibilidade dos resultados.</w:t>
            </w: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Desenvolver a capacidade de abstração e de generalização e de compreender a noção de demonstração, e construir argumentos matemáticos e raciocínios lógicos. </w:t>
            </w: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pPr>
            <w:r w:rsidRPr="0052197A">
              <w:rPr>
                <w:sz w:val="20"/>
                <w:szCs w:val="24"/>
              </w:rPr>
              <w:t>Exprimir oralmente e por escrito ideias matemáticas, com precisão e rigor, para justificar raciocínios, procedimentos e conclusões, recorrendo ao vocabulário e linguagem próprios da geometria e da matemática em geral (convenções, notações, terminologia e simbologia).</w:t>
            </w:r>
            <w:r w:rsidRPr="0052197A">
              <w:t xml:space="preserve"> </w:t>
            </w:r>
          </w:p>
          <w:p w:rsidR="00392DF0" w:rsidRPr="0052197A" w:rsidRDefault="00392DF0" w:rsidP="00392DF0">
            <w:pPr>
              <w:widowControl w:val="0"/>
              <w:tabs>
                <w:tab w:val="left" w:pos="380"/>
                <w:tab w:val="left" w:pos="1000"/>
              </w:tabs>
              <w:autoSpaceDE w:val="0"/>
              <w:autoSpaceDN w:val="0"/>
              <w:adjustRightInd w:val="0"/>
              <w:spacing w:before="60" w:after="60"/>
              <w:ind w:right="113"/>
              <w:cnfStyle w:val="000000010000" w:firstRow="0" w:lastRow="0" w:firstColumn="0" w:lastColumn="0" w:oddVBand="0" w:evenVBand="0" w:oddHBand="0" w:evenHBand="1" w:firstRowFirstColumn="0" w:firstRowLastColumn="0" w:lastRowFirstColumn="0" w:lastRowLastColumn="0"/>
            </w:pPr>
          </w:p>
          <w:p w:rsidR="00392DF0" w:rsidRPr="0052197A" w:rsidRDefault="00392DF0" w:rsidP="00392DF0">
            <w:pPr>
              <w:widowControl w:val="0"/>
              <w:tabs>
                <w:tab w:val="left" w:pos="380"/>
                <w:tab w:val="left" w:pos="1000"/>
              </w:tabs>
              <w:autoSpaceDE w:val="0"/>
              <w:autoSpaceDN w:val="0"/>
              <w:adjustRightInd w:val="0"/>
              <w:spacing w:before="60" w:after="60"/>
              <w:ind w:right="113"/>
              <w:cnfStyle w:val="000000010000" w:firstRow="0" w:lastRow="0" w:firstColumn="0" w:lastColumn="0" w:oddVBand="0" w:evenVBand="0" w:oddHBand="0" w:evenHBand="1" w:firstRowFirstColumn="0" w:firstRowLastColumn="0" w:lastRowFirstColumn="0" w:lastRowLastColumn="0"/>
            </w:pPr>
          </w:p>
          <w:p w:rsidR="00392DF0" w:rsidRPr="0052197A" w:rsidRDefault="00392DF0" w:rsidP="00392DF0">
            <w:pPr>
              <w:widowControl w:val="0"/>
              <w:tabs>
                <w:tab w:val="left" w:pos="380"/>
                <w:tab w:val="left" w:pos="1000"/>
              </w:tabs>
              <w:autoSpaceDE w:val="0"/>
              <w:autoSpaceDN w:val="0"/>
              <w:adjustRightInd w:val="0"/>
              <w:spacing w:before="60" w:after="60"/>
              <w:ind w:right="113"/>
              <w:cnfStyle w:val="000000010000" w:firstRow="0" w:lastRow="0" w:firstColumn="0" w:lastColumn="0" w:oddVBand="0" w:evenVBand="0" w:oddHBand="0" w:evenHBand="1" w:firstRowFirstColumn="0" w:firstRowLastColumn="0" w:lastRowFirstColumn="0" w:lastRowLastColumn="0"/>
            </w:pPr>
          </w:p>
          <w:p w:rsidR="00392DF0" w:rsidRPr="0052197A" w:rsidRDefault="00392DF0" w:rsidP="00392DF0">
            <w:pPr>
              <w:widowControl w:val="0"/>
              <w:tabs>
                <w:tab w:val="left" w:pos="380"/>
                <w:tab w:val="left" w:pos="1000"/>
              </w:tabs>
              <w:autoSpaceDE w:val="0"/>
              <w:autoSpaceDN w:val="0"/>
              <w:adjustRightInd w:val="0"/>
              <w:spacing w:before="60" w:after="60"/>
              <w:ind w:right="113"/>
              <w:cnfStyle w:val="000000010000" w:firstRow="0" w:lastRow="0" w:firstColumn="0" w:lastColumn="0" w:oddVBand="0" w:evenVBand="0" w:oddHBand="0" w:evenHBand="1" w:firstRowFirstColumn="0" w:firstRowLastColumn="0" w:lastRowFirstColumn="0" w:lastRowLastColumn="0"/>
            </w:pPr>
          </w:p>
        </w:tc>
      </w:tr>
      <w:tr w:rsidR="00850070" w:rsidRPr="0052197A" w:rsidTr="0052197A">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1531" w:type="dxa"/>
            <w:tcBorders>
              <w:right w:val="none" w:sz="0" w:space="0" w:color="auto"/>
            </w:tcBorders>
            <w:shd w:val="clear" w:color="auto" w:fill="FEF3F0"/>
            <w:textDirection w:val="btLr"/>
            <w:vAlign w:val="center"/>
          </w:tcPr>
          <w:p w:rsidR="00850070" w:rsidRPr="006A62E8" w:rsidRDefault="00392DF0" w:rsidP="00392DF0">
            <w:pPr>
              <w:ind w:left="113" w:right="113"/>
              <w:jc w:val="center"/>
              <w:rPr>
                <w:sz w:val="24"/>
              </w:rPr>
            </w:pPr>
            <w:r w:rsidRPr="00954A80">
              <w:rPr>
                <w:sz w:val="24"/>
              </w:rPr>
              <w:lastRenderedPageBreak/>
              <w:t>Funções, Sequências e Sucessões/Álgebra</w:t>
            </w:r>
          </w:p>
        </w:tc>
        <w:tc>
          <w:tcPr>
            <w:tcW w:w="4536" w:type="dxa"/>
            <w:tcBorders>
              <w:left w:val="none" w:sz="0" w:space="0" w:color="auto"/>
              <w:right w:val="none" w:sz="0" w:space="0" w:color="auto"/>
            </w:tcBorders>
            <w:shd w:val="clear" w:color="auto" w:fill="FEF3F0"/>
          </w:tcPr>
          <w:p w:rsidR="00392DF0" w:rsidRPr="006A62E8" w:rsidRDefault="00392DF0" w:rsidP="00392DF0">
            <w:pPr>
              <w:widowControl w:val="0"/>
              <w:tabs>
                <w:tab w:val="left" w:pos="380"/>
                <w:tab w:val="left" w:pos="1000"/>
              </w:tabs>
              <w:autoSpaceDE w:val="0"/>
              <w:autoSpaceDN w:val="0"/>
              <w:adjustRightInd w:val="0"/>
              <w:spacing w:before="60" w:after="60"/>
              <w:ind w:right="113"/>
              <w:cnfStyle w:val="000000100000" w:firstRow="0" w:lastRow="0" w:firstColumn="0" w:lastColumn="0" w:oddVBand="0" w:evenVBand="0" w:oddHBand="1" w:evenHBand="0" w:firstRowFirstColumn="0" w:firstRowLastColumn="0" w:lastRowFirstColumn="0" w:lastRowLastColumn="0"/>
              <w:rPr>
                <w:b/>
                <w:sz w:val="20"/>
                <w:szCs w:val="24"/>
              </w:rPr>
            </w:pPr>
            <w:r w:rsidRPr="006A62E8">
              <w:rPr>
                <w:b/>
                <w:sz w:val="20"/>
                <w:szCs w:val="24"/>
              </w:rPr>
              <w:t xml:space="preserve">Gráficos de funções afins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Equação de reta não vertical e gráfico de função linear ou afim;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Declive e ordenada na origem de uma reta não vertical;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Relação entre declive e paralelismo;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Determinação do declive de uma reta determinada por dois pontos com abcissas distintas;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Equação de reta vertical; </w:t>
            </w:r>
          </w:p>
          <w:p w:rsidR="00392DF0" w:rsidRPr="0052197A" w:rsidRDefault="00392DF0" w:rsidP="00392DF0">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Problemas envolvendo equações de retas. </w:t>
            </w:r>
          </w:p>
          <w:p w:rsidR="00947DC9" w:rsidRPr="0052197A" w:rsidRDefault="00947DC9" w:rsidP="00947DC9">
            <w:pPr>
              <w:widowControl w:val="0"/>
              <w:tabs>
                <w:tab w:val="left" w:pos="380"/>
                <w:tab w:val="left" w:pos="1000"/>
              </w:tabs>
              <w:autoSpaceDE w:val="0"/>
              <w:autoSpaceDN w:val="0"/>
              <w:adjustRightInd w:val="0"/>
              <w:spacing w:before="60" w:after="60"/>
              <w:ind w:left="113" w:right="113"/>
              <w:cnfStyle w:val="000000100000" w:firstRow="0" w:lastRow="0" w:firstColumn="0" w:lastColumn="0" w:oddVBand="0" w:evenVBand="0" w:oddHBand="1" w:evenHBand="0" w:firstRowFirstColumn="0" w:firstRowLastColumn="0" w:lastRowFirstColumn="0" w:lastRowLastColumn="0"/>
              <w:rPr>
                <w:sz w:val="20"/>
                <w:szCs w:val="24"/>
              </w:rPr>
            </w:pPr>
          </w:p>
          <w:p w:rsidR="00947DC9" w:rsidRPr="006A62E8" w:rsidRDefault="00947DC9" w:rsidP="00947DC9">
            <w:pPr>
              <w:pStyle w:val="Default"/>
              <w:cnfStyle w:val="000000100000" w:firstRow="0" w:lastRow="0" w:firstColumn="0" w:lastColumn="0" w:oddVBand="0" w:evenVBand="0" w:oddHBand="1" w:evenHBand="0" w:firstRowFirstColumn="0" w:firstRowLastColumn="0" w:lastRowFirstColumn="0" w:lastRowLastColumn="0"/>
              <w:rPr>
                <w:b/>
                <w:bCs/>
                <w:sz w:val="20"/>
                <w:szCs w:val="20"/>
              </w:rPr>
            </w:pPr>
            <w:r w:rsidRPr="006A62E8">
              <w:rPr>
                <w:b/>
                <w:bCs/>
                <w:sz w:val="20"/>
                <w:szCs w:val="20"/>
              </w:rPr>
              <w:t xml:space="preserve">Monómios e Polinómios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Monómios; fatores numéricos, constantes e var</w:t>
            </w:r>
            <w:r w:rsidR="00954A80">
              <w:rPr>
                <w:sz w:val="20"/>
                <w:szCs w:val="24"/>
              </w:rPr>
              <w:t>i</w:t>
            </w:r>
            <w:r w:rsidRPr="0052197A">
              <w:rPr>
                <w:sz w:val="20"/>
                <w:szCs w:val="24"/>
              </w:rPr>
              <w:t xml:space="preserve">áveis ou indeterminadas; parte numérica ou coeficiente; monómio nulo e monómio constante; parte literal;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Monómios semelhantes; forma canónica de um monómio; igualdade de monómios;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Grau de um monómio;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Soma algébrica e produto de monómios;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Polinómios; termos; variáveis ou indeterminadas, coeficientes; forma reduzida; igualdade de polinómios; termo independente; polinómio nulo;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Grau de um polinómio;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Soma algébrica e produto de polinómios;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Casos notáveis da multiplicação como igualdades entre polinómios;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Problemas associando polinómios a medidas de áreas e volumes, interpretando geometricamente igualdades que os envolvam;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Problemas envolvendo polinómios, casos notáveis da multiplicação de polinómios e fatorização. </w:t>
            </w:r>
          </w:p>
          <w:p w:rsidR="00947DC9" w:rsidRPr="0052197A" w:rsidRDefault="00947DC9" w:rsidP="00947DC9">
            <w:pPr>
              <w:widowControl w:val="0"/>
              <w:tabs>
                <w:tab w:val="left" w:pos="380"/>
                <w:tab w:val="left" w:pos="1000"/>
              </w:tabs>
              <w:autoSpaceDE w:val="0"/>
              <w:autoSpaceDN w:val="0"/>
              <w:adjustRightInd w:val="0"/>
              <w:spacing w:before="60" w:after="60"/>
              <w:ind w:left="113" w:right="113"/>
              <w:cnfStyle w:val="000000100000" w:firstRow="0" w:lastRow="0" w:firstColumn="0" w:lastColumn="0" w:oddVBand="0" w:evenVBand="0" w:oddHBand="1" w:evenHBand="0" w:firstRowFirstColumn="0" w:firstRowLastColumn="0" w:lastRowFirstColumn="0" w:lastRowLastColumn="0"/>
              <w:rPr>
                <w:sz w:val="20"/>
                <w:szCs w:val="24"/>
              </w:rPr>
            </w:pPr>
          </w:p>
          <w:p w:rsidR="00947DC9" w:rsidRPr="006A62E8" w:rsidRDefault="00947DC9" w:rsidP="00947DC9">
            <w:pPr>
              <w:pStyle w:val="Default"/>
              <w:cnfStyle w:val="000000100000" w:firstRow="0" w:lastRow="0" w:firstColumn="0" w:lastColumn="0" w:oddVBand="0" w:evenVBand="0" w:oddHBand="1" w:evenHBand="0" w:firstRowFirstColumn="0" w:firstRowLastColumn="0" w:lastRowFirstColumn="0" w:lastRowLastColumn="0"/>
              <w:rPr>
                <w:b/>
                <w:sz w:val="20"/>
                <w:szCs w:val="20"/>
              </w:rPr>
            </w:pPr>
            <w:r w:rsidRPr="006A62E8">
              <w:rPr>
                <w:b/>
                <w:bCs/>
                <w:sz w:val="20"/>
                <w:szCs w:val="20"/>
              </w:rPr>
              <w:t xml:space="preserve">Equações incompletas de 2.º grau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Equação do 2.º grau; equação incompleta;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Lei do anulamento do produto;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Resolução de equações incompletas de 2.º grau</w:t>
            </w:r>
            <w:r w:rsidR="00A102EB" w:rsidRPr="0052197A">
              <w:rPr>
                <w:sz w:val="20"/>
                <w:szCs w:val="24"/>
              </w:rPr>
              <w:t>;</w:t>
            </w:r>
            <w:r w:rsidRPr="0052197A">
              <w:rPr>
                <w:sz w:val="20"/>
                <w:szCs w:val="24"/>
              </w:rPr>
              <w:t xml:space="preserve">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Resolução de equações de 2.º grau tirando partido da lei do anulamento do produto;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52197A">
              <w:rPr>
                <w:sz w:val="20"/>
                <w:szCs w:val="24"/>
              </w:rPr>
              <w:t>Problemas envolvendo equações de 2.º grau</w:t>
            </w:r>
            <w:r w:rsidRPr="0052197A">
              <w:rPr>
                <w:sz w:val="20"/>
                <w:szCs w:val="20"/>
              </w:rPr>
              <w:t>.</w:t>
            </w:r>
          </w:p>
          <w:p w:rsidR="00850070" w:rsidRPr="0052197A" w:rsidRDefault="00850070" w:rsidP="00947DC9">
            <w:pPr>
              <w:pStyle w:val="ListParagraph"/>
              <w:widowControl w:val="0"/>
              <w:tabs>
                <w:tab w:val="left" w:pos="380"/>
                <w:tab w:val="left" w:pos="1000"/>
              </w:tabs>
              <w:autoSpaceDE w:val="0"/>
              <w:autoSpaceDN w:val="0"/>
              <w:adjustRightInd w:val="0"/>
              <w:spacing w:before="60" w:after="60"/>
              <w:ind w:left="113" w:right="113"/>
              <w:contextualSpacing w:val="0"/>
              <w:cnfStyle w:val="000000100000" w:firstRow="0" w:lastRow="0" w:firstColumn="0" w:lastColumn="0" w:oddVBand="0" w:evenVBand="0" w:oddHBand="1" w:evenHBand="0" w:firstRowFirstColumn="0" w:firstRowLastColumn="0" w:lastRowFirstColumn="0" w:lastRowLastColumn="0"/>
              <w:rPr>
                <w:rFonts w:cstheme="minorBidi"/>
                <w:sz w:val="24"/>
              </w:rPr>
            </w:pPr>
          </w:p>
        </w:tc>
        <w:tc>
          <w:tcPr>
            <w:tcW w:w="3969" w:type="dxa"/>
            <w:tcBorders>
              <w:left w:val="none" w:sz="0" w:space="0" w:color="auto"/>
            </w:tcBorders>
            <w:shd w:val="clear" w:color="auto" w:fill="FEF3F0"/>
          </w:tcPr>
          <w:p w:rsidR="006B035C" w:rsidRPr="0052197A" w:rsidRDefault="006B035C" w:rsidP="006B035C">
            <w:pPr>
              <w:widowControl w:val="0"/>
              <w:tabs>
                <w:tab w:val="left" w:pos="380"/>
                <w:tab w:val="left" w:pos="1000"/>
              </w:tabs>
              <w:autoSpaceDE w:val="0"/>
              <w:autoSpaceDN w:val="0"/>
              <w:adjustRightInd w:val="0"/>
              <w:spacing w:before="60"/>
              <w:ind w:right="113"/>
              <w:cnfStyle w:val="000000100000" w:firstRow="0" w:lastRow="0" w:firstColumn="0" w:lastColumn="0" w:oddVBand="0" w:evenVBand="0" w:oddHBand="1" w:evenHBand="0" w:firstRowFirstColumn="0" w:firstRowLastColumn="0" w:lastRowFirstColumn="0" w:lastRowLastColumn="0"/>
              <w:rPr>
                <w:sz w:val="20"/>
                <w:szCs w:val="24"/>
              </w:rPr>
            </w:pP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Reconhecer regularidades e determinar uma lei de formação de uma sequência de números racionais e uma expressão algébrica que a representa. </w:t>
            </w: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Reconhecer, interpretar e resolver equações do 1.º grau e do 2.º grau, incompletas, a uma incógnita e usá-las para representar situações em contextos matemáticos e não matemáticos. </w:t>
            </w: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Resolver sistemas de equações do 1.º grau a duas incógnitas, e interpretar graficamente a sua solução. </w:t>
            </w: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Reconhecer uma função em diversas representações, e interpretá-la como relação entre variáveis e como correspondência unívoca entre dois conjuntos, e usar funções para representar e analisar situações, em contextos matemáticos e não matemáticos. </w:t>
            </w: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Representar e interpretar graficamente uma função afim e relacionar a representação gráfica com a algébrica e reciprocamente. </w:t>
            </w:r>
          </w:p>
          <w:p w:rsidR="00614B7E"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Resolver problemas utilizando equações e funções, em contextos matemáticos e não matemáticos, concebendo e aplicando estratégias para a sua resolução, incluindo a utilização de tecnologia, e avaliando a plausibilidade dos resultados.</w:t>
            </w: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Desenvolver a capacidade de abstração e de generalização, e de compreender e construir argumentos matemáticos e raciocínios lógicos. </w:t>
            </w:r>
          </w:p>
          <w:p w:rsidR="00797E19" w:rsidRPr="0052197A" w:rsidRDefault="00797E19" w:rsidP="00797E1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Exprimir, oralmente e por escrito, ideias matemáticas, com precisão e rigor, para explicar e justificar raciocínios, procedimentos e conclusões, recorrendo ao vocabulário e linguagem próprios da matemática (convenções, notações, terminologia e simbologia). </w:t>
            </w:r>
          </w:p>
          <w:p w:rsidR="00614B7E" w:rsidRPr="0052197A" w:rsidRDefault="00614B7E" w:rsidP="00614B7E">
            <w:pPr>
              <w:pStyle w:val="ListParagraph"/>
              <w:widowControl w:val="0"/>
              <w:tabs>
                <w:tab w:val="left" w:pos="380"/>
                <w:tab w:val="left" w:pos="1000"/>
              </w:tabs>
              <w:autoSpaceDE w:val="0"/>
              <w:autoSpaceDN w:val="0"/>
              <w:adjustRightInd w:val="0"/>
              <w:spacing w:before="60" w:after="60"/>
              <w:ind w:left="113" w:right="113"/>
              <w:contextualSpacing w:val="0"/>
              <w:cnfStyle w:val="000000100000" w:firstRow="0" w:lastRow="0" w:firstColumn="0" w:lastColumn="0" w:oddVBand="0" w:evenVBand="0" w:oddHBand="1" w:evenHBand="0" w:firstRowFirstColumn="0" w:firstRowLastColumn="0" w:lastRowFirstColumn="0" w:lastRowLastColumn="0"/>
              <w:rPr>
                <w:sz w:val="20"/>
                <w:szCs w:val="24"/>
              </w:rPr>
            </w:pPr>
          </w:p>
          <w:p w:rsidR="004A73FC" w:rsidRPr="0052197A" w:rsidRDefault="004A73FC" w:rsidP="00614B7E">
            <w:pPr>
              <w:pStyle w:val="ListParagraph"/>
              <w:widowControl w:val="0"/>
              <w:tabs>
                <w:tab w:val="left" w:pos="380"/>
                <w:tab w:val="left" w:pos="1000"/>
              </w:tabs>
              <w:autoSpaceDE w:val="0"/>
              <w:autoSpaceDN w:val="0"/>
              <w:adjustRightInd w:val="0"/>
              <w:spacing w:before="60" w:after="60"/>
              <w:ind w:left="113" w:right="113"/>
              <w:contextualSpacing w:val="0"/>
              <w:cnfStyle w:val="000000100000" w:firstRow="0" w:lastRow="0" w:firstColumn="0" w:lastColumn="0" w:oddVBand="0" w:evenVBand="0" w:oddHBand="1" w:evenHBand="0" w:firstRowFirstColumn="0" w:firstRowLastColumn="0" w:lastRowFirstColumn="0" w:lastRowLastColumn="0"/>
              <w:rPr>
                <w:sz w:val="20"/>
                <w:szCs w:val="24"/>
              </w:rPr>
            </w:pPr>
          </w:p>
          <w:p w:rsidR="00614B7E" w:rsidRPr="0052197A" w:rsidRDefault="00614B7E" w:rsidP="00614B7E">
            <w:pPr>
              <w:pStyle w:val="ListParagraph"/>
              <w:widowControl w:val="0"/>
              <w:tabs>
                <w:tab w:val="left" w:pos="380"/>
                <w:tab w:val="left" w:pos="1000"/>
              </w:tabs>
              <w:autoSpaceDE w:val="0"/>
              <w:autoSpaceDN w:val="0"/>
              <w:adjustRightInd w:val="0"/>
              <w:spacing w:before="60" w:after="60"/>
              <w:ind w:left="113" w:right="113"/>
              <w:contextualSpacing w:val="0"/>
              <w:cnfStyle w:val="000000100000" w:firstRow="0" w:lastRow="0" w:firstColumn="0" w:lastColumn="0" w:oddVBand="0" w:evenVBand="0" w:oddHBand="1" w:evenHBand="0" w:firstRowFirstColumn="0" w:firstRowLastColumn="0" w:lastRowFirstColumn="0" w:lastRowLastColumn="0"/>
              <w:rPr>
                <w:sz w:val="20"/>
                <w:szCs w:val="24"/>
              </w:rPr>
            </w:pPr>
          </w:p>
          <w:p w:rsidR="00614B7E" w:rsidRPr="0052197A" w:rsidRDefault="00614B7E" w:rsidP="00614B7E">
            <w:pPr>
              <w:pStyle w:val="ListParagraph"/>
              <w:widowControl w:val="0"/>
              <w:tabs>
                <w:tab w:val="left" w:pos="380"/>
                <w:tab w:val="left" w:pos="1000"/>
              </w:tabs>
              <w:autoSpaceDE w:val="0"/>
              <w:autoSpaceDN w:val="0"/>
              <w:adjustRightInd w:val="0"/>
              <w:spacing w:before="60" w:after="60"/>
              <w:ind w:left="113" w:right="113"/>
              <w:contextualSpacing w:val="0"/>
              <w:cnfStyle w:val="000000100000" w:firstRow="0" w:lastRow="0" w:firstColumn="0" w:lastColumn="0" w:oddVBand="0" w:evenVBand="0" w:oddHBand="1" w:evenHBand="0" w:firstRowFirstColumn="0" w:firstRowLastColumn="0" w:lastRowFirstColumn="0" w:lastRowLastColumn="0"/>
              <w:rPr>
                <w:rFonts w:eastAsiaTheme="minorHAnsi" w:cstheme="minorBidi"/>
                <w:sz w:val="24"/>
                <w:lang w:eastAsia="en-US"/>
              </w:rPr>
            </w:pPr>
          </w:p>
        </w:tc>
      </w:tr>
      <w:tr w:rsidR="00947DC9" w:rsidRPr="0052197A" w:rsidTr="0052197A">
        <w:trPr>
          <w:cnfStyle w:val="000000010000" w:firstRow="0" w:lastRow="0" w:firstColumn="0" w:lastColumn="0" w:oddVBand="0" w:evenVBand="0" w:oddHBand="0" w:evenHBand="1"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1531" w:type="dxa"/>
            <w:tcBorders>
              <w:right w:val="none" w:sz="0" w:space="0" w:color="auto"/>
            </w:tcBorders>
            <w:shd w:val="clear" w:color="auto" w:fill="FEF3F0"/>
            <w:textDirection w:val="btLr"/>
            <w:vAlign w:val="center"/>
          </w:tcPr>
          <w:p w:rsidR="00947DC9" w:rsidRPr="006A62E8" w:rsidRDefault="00947DC9" w:rsidP="00392DF0">
            <w:pPr>
              <w:ind w:left="113" w:right="113"/>
              <w:jc w:val="center"/>
              <w:rPr>
                <w:sz w:val="24"/>
              </w:rPr>
            </w:pPr>
            <w:r w:rsidRPr="00954A80">
              <w:rPr>
                <w:sz w:val="24"/>
              </w:rPr>
              <w:lastRenderedPageBreak/>
              <w:t>Funções, Sequências e Sucessões/Álgebra</w:t>
            </w:r>
          </w:p>
        </w:tc>
        <w:tc>
          <w:tcPr>
            <w:tcW w:w="4536" w:type="dxa"/>
            <w:tcBorders>
              <w:left w:val="none" w:sz="0" w:space="0" w:color="auto"/>
              <w:right w:val="none" w:sz="0" w:space="0" w:color="auto"/>
            </w:tcBorders>
            <w:shd w:val="clear" w:color="auto" w:fill="FEF3F0"/>
          </w:tcPr>
          <w:p w:rsidR="00947DC9" w:rsidRPr="006A62E8" w:rsidRDefault="00947DC9" w:rsidP="00947DC9">
            <w:pPr>
              <w:widowControl w:val="0"/>
              <w:tabs>
                <w:tab w:val="left" w:pos="380"/>
                <w:tab w:val="left" w:pos="1000"/>
              </w:tabs>
              <w:autoSpaceDE w:val="0"/>
              <w:autoSpaceDN w:val="0"/>
              <w:adjustRightInd w:val="0"/>
              <w:spacing w:before="60" w:after="60"/>
              <w:ind w:right="113"/>
              <w:cnfStyle w:val="000000010000" w:firstRow="0" w:lastRow="0" w:firstColumn="0" w:lastColumn="0" w:oddVBand="0" w:evenVBand="0" w:oddHBand="0" w:evenHBand="1" w:firstRowFirstColumn="0" w:firstRowLastColumn="0" w:lastRowFirstColumn="0" w:lastRowLastColumn="0"/>
              <w:rPr>
                <w:b/>
                <w:bCs/>
                <w:sz w:val="20"/>
                <w:szCs w:val="20"/>
              </w:rPr>
            </w:pPr>
            <w:r w:rsidRPr="006A62E8">
              <w:rPr>
                <w:b/>
                <w:bCs/>
                <w:sz w:val="20"/>
                <w:szCs w:val="20"/>
              </w:rPr>
              <w:t xml:space="preserve">Equações literais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Equações literais;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Resolução em ordem a uma dada incógnita de equações literais do 1.º e 2.º grau. </w:t>
            </w:r>
          </w:p>
          <w:p w:rsidR="00947DC9" w:rsidRPr="0052197A" w:rsidRDefault="00947DC9" w:rsidP="00947DC9">
            <w:pPr>
              <w:pStyle w:val="ListParagraph"/>
              <w:widowControl w:val="0"/>
              <w:tabs>
                <w:tab w:val="left" w:pos="380"/>
                <w:tab w:val="left" w:pos="1000"/>
              </w:tabs>
              <w:autoSpaceDE w:val="0"/>
              <w:autoSpaceDN w:val="0"/>
              <w:adjustRightInd w:val="0"/>
              <w:spacing w:before="60" w:after="60"/>
              <w:ind w:left="113" w:right="113"/>
              <w:contextualSpacing w:val="0"/>
              <w:cnfStyle w:val="000000010000" w:firstRow="0" w:lastRow="0" w:firstColumn="0" w:lastColumn="0" w:oddVBand="0" w:evenVBand="0" w:oddHBand="0" w:evenHBand="1" w:firstRowFirstColumn="0" w:firstRowLastColumn="0" w:lastRowFirstColumn="0" w:lastRowLastColumn="0"/>
              <w:rPr>
                <w:sz w:val="20"/>
                <w:szCs w:val="24"/>
              </w:rPr>
            </w:pPr>
          </w:p>
          <w:p w:rsidR="00947DC9" w:rsidRPr="006A62E8" w:rsidRDefault="00947DC9" w:rsidP="00947DC9">
            <w:pPr>
              <w:pStyle w:val="Default"/>
              <w:cnfStyle w:val="000000010000" w:firstRow="0" w:lastRow="0" w:firstColumn="0" w:lastColumn="0" w:oddVBand="0" w:evenVBand="0" w:oddHBand="0" w:evenHBand="1" w:firstRowFirstColumn="0" w:firstRowLastColumn="0" w:lastRowFirstColumn="0" w:lastRowLastColumn="0"/>
              <w:rPr>
                <w:b/>
                <w:bCs/>
                <w:sz w:val="20"/>
                <w:szCs w:val="20"/>
              </w:rPr>
            </w:pPr>
            <w:r w:rsidRPr="006A62E8">
              <w:rPr>
                <w:b/>
                <w:bCs/>
                <w:sz w:val="20"/>
                <w:szCs w:val="20"/>
              </w:rPr>
              <w:t xml:space="preserve">Sistemas de duas equações do 1.º grau com duas incógnitas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Sistemas de duas equações do 1.º grau com duas incógnitas; forma canónica; soluções; sistemas equivalentes;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 xml:space="preserve">Interpretação geométrica de sistemas de duas equações do 1.º grau com duas incógnitas;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Resolução de sistemas de duas equações de 1.º g</w:t>
            </w:r>
            <w:r w:rsidR="00A102EB" w:rsidRPr="0052197A">
              <w:rPr>
                <w:sz w:val="20"/>
                <w:szCs w:val="24"/>
              </w:rPr>
              <w:t>rau pelo método de substituição;</w:t>
            </w:r>
            <w:r w:rsidRPr="0052197A">
              <w:rPr>
                <w:sz w:val="20"/>
                <w:szCs w:val="24"/>
              </w:rPr>
              <w:t xml:space="preserve">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010000" w:firstRow="0" w:lastRow="0" w:firstColumn="0" w:lastColumn="0" w:oddVBand="0" w:evenVBand="0" w:oddHBand="0" w:evenHBand="1" w:firstRowFirstColumn="0" w:firstRowLastColumn="0" w:lastRowFirstColumn="0" w:lastRowLastColumn="0"/>
              <w:rPr>
                <w:sz w:val="20"/>
                <w:szCs w:val="24"/>
              </w:rPr>
            </w:pPr>
            <w:r w:rsidRPr="0052197A">
              <w:rPr>
                <w:sz w:val="20"/>
                <w:szCs w:val="24"/>
              </w:rPr>
              <w:t>Problemas envolvendo sistemas de equações do 1.º grau com duas incógnitas.</w:t>
            </w:r>
            <w:r w:rsidRPr="0052197A">
              <w:rPr>
                <w:sz w:val="20"/>
                <w:szCs w:val="20"/>
              </w:rPr>
              <w:t xml:space="preserve"> </w:t>
            </w:r>
          </w:p>
          <w:p w:rsidR="00947DC9" w:rsidRPr="0052197A" w:rsidRDefault="00947DC9" w:rsidP="00947DC9">
            <w:pPr>
              <w:pStyle w:val="ListParagraph"/>
              <w:widowControl w:val="0"/>
              <w:tabs>
                <w:tab w:val="left" w:pos="380"/>
                <w:tab w:val="left" w:pos="1000"/>
              </w:tabs>
              <w:autoSpaceDE w:val="0"/>
              <w:autoSpaceDN w:val="0"/>
              <w:adjustRightInd w:val="0"/>
              <w:spacing w:before="60" w:after="60"/>
              <w:ind w:left="113" w:right="113"/>
              <w:contextualSpacing w:val="0"/>
              <w:cnfStyle w:val="000000010000" w:firstRow="0" w:lastRow="0" w:firstColumn="0" w:lastColumn="0" w:oddVBand="0" w:evenVBand="0" w:oddHBand="0" w:evenHBand="1" w:firstRowFirstColumn="0" w:firstRowLastColumn="0" w:lastRowFirstColumn="0" w:lastRowLastColumn="0"/>
              <w:rPr>
                <w:sz w:val="20"/>
                <w:szCs w:val="24"/>
              </w:rPr>
            </w:pPr>
          </w:p>
        </w:tc>
        <w:tc>
          <w:tcPr>
            <w:tcW w:w="3969" w:type="dxa"/>
            <w:tcBorders>
              <w:left w:val="none" w:sz="0" w:space="0" w:color="auto"/>
            </w:tcBorders>
            <w:shd w:val="clear" w:color="auto" w:fill="FEF3F0"/>
          </w:tcPr>
          <w:p w:rsidR="00947DC9" w:rsidRPr="0052197A" w:rsidRDefault="00947DC9" w:rsidP="006B035C">
            <w:pPr>
              <w:widowControl w:val="0"/>
              <w:tabs>
                <w:tab w:val="left" w:pos="380"/>
                <w:tab w:val="left" w:pos="1000"/>
              </w:tabs>
              <w:autoSpaceDE w:val="0"/>
              <w:autoSpaceDN w:val="0"/>
              <w:adjustRightInd w:val="0"/>
              <w:spacing w:before="60"/>
              <w:ind w:right="113"/>
              <w:cnfStyle w:val="000000010000" w:firstRow="0" w:lastRow="0" w:firstColumn="0" w:lastColumn="0" w:oddVBand="0" w:evenVBand="0" w:oddHBand="0" w:evenHBand="1" w:firstRowFirstColumn="0" w:firstRowLastColumn="0" w:lastRowFirstColumn="0" w:lastRowLastColumn="0"/>
              <w:rPr>
                <w:sz w:val="20"/>
                <w:szCs w:val="24"/>
              </w:rPr>
            </w:pPr>
          </w:p>
        </w:tc>
      </w:tr>
      <w:tr w:rsidR="0070030C" w:rsidRPr="0052197A" w:rsidTr="005219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1" w:type="dxa"/>
            <w:tcBorders>
              <w:right w:val="none" w:sz="0" w:space="0" w:color="auto"/>
            </w:tcBorders>
            <w:shd w:val="clear" w:color="auto" w:fill="FABF8F" w:themeFill="accent6" w:themeFillTint="99"/>
            <w:textDirection w:val="btLr"/>
            <w:vAlign w:val="center"/>
          </w:tcPr>
          <w:p w:rsidR="0070030C" w:rsidRPr="006A62E8" w:rsidRDefault="00243539" w:rsidP="00193F87">
            <w:pPr>
              <w:ind w:left="113" w:right="113"/>
              <w:jc w:val="center"/>
            </w:pPr>
            <w:r w:rsidRPr="00954A80">
              <w:rPr>
                <w:sz w:val="24"/>
              </w:rPr>
              <w:t>Organização e tratamento de dados</w:t>
            </w:r>
          </w:p>
        </w:tc>
        <w:tc>
          <w:tcPr>
            <w:tcW w:w="4536" w:type="dxa"/>
            <w:tcBorders>
              <w:left w:val="none" w:sz="0" w:space="0" w:color="auto"/>
              <w:right w:val="none" w:sz="0" w:space="0" w:color="auto"/>
            </w:tcBorders>
            <w:shd w:val="clear" w:color="auto" w:fill="FABF8F" w:themeFill="accent6" w:themeFillTint="99"/>
          </w:tcPr>
          <w:p w:rsidR="00947DC9" w:rsidRPr="006A62E8" w:rsidRDefault="00947DC9" w:rsidP="00947DC9">
            <w:pPr>
              <w:widowControl w:val="0"/>
              <w:tabs>
                <w:tab w:val="left" w:pos="380"/>
                <w:tab w:val="left" w:pos="1000"/>
              </w:tabs>
              <w:autoSpaceDE w:val="0"/>
              <w:autoSpaceDN w:val="0"/>
              <w:adjustRightInd w:val="0"/>
              <w:spacing w:before="60" w:after="60"/>
              <w:ind w:right="113"/>
              <w:cnfStyle w:val="000000100000" w:firstRow="0" w:lastRow="0" w:firstColumn="0" w:lastColumn="0" w:oddVBand="0" w:evenVBand="0" w:oddHBand="1" w:evenHBand="0" w:firstRowFirstColumn="0" w:firstRowLastColumn="0" w:lastRowFirstColumn="0" w:lastRowLastColumn="0"/>
              <w:rPr>
                <w:b/>
                <w:bCs/>
                <w:sz w:val="20"/>
                <w:szCs w:val="20"/>
              </w:rPr>
            </w:pPr>
            <w:r w:rsidRPr="006A62E8">
              <w:rPr>
                <w:b/>
                <w:bCs/>
                <w:sz w:val="20"/>
                <w:szCs w:val="20"/>
              </w:rPr>
              <w:t xml:space="preserve">Diagramas de extremos e quartis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Noção de quartil;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Diagramas de extremos e quartis; </w:t>
            </w:r>
          </w:p>
          <w:p w:rsidR="00947DC9"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Amplitude interquartil; </w:t>
            </w:r>
          </w:p>
          <w:p w:rsidR="0070030C" w:rsidRPr="0052197A" w:rsidRDefault="00947DC9" w:rsidP="00947DC9">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bCs/>
                <w:sz w:val="20"/>
                <w:szCs w:val="20"/>
              </w:rPr>
            </w:pPr>
            <w:r w:rsidRPr="0052197A">
              <w:rPr>
                <w:sz w:val="20"/>
                <w:szCs w:val="24"/>
              </w:rPr>
              <w:t>Problemas envolvendo gráficos diversos e diagramas de extremos e quartis.</w:t>
            </w:r>
            <w:r w:rsidRPr="0052197A">
              <w:rPr>
                <w:sz w:val="20"/>
                <w:szCs w:val="20"/>
              </w:rPr>
              <w:t xml:space="preserve"> </w:t>
            </w:r>
          </w:p>
        </w:tc>
        <w:tc>
          <w:tcPr>
            <w:tcW w:w="3969" w:type="dxa"/>
            <w:tcBorders>
              <w:left w:val="none" w:sz="0" w:space="0" w:color="auto"/>
            </w:tcBorders>
            <w:shd w:val="clear" w:color="auto" w:fill="FABF8F" w:themeFill="accent6" w:themeFillTint="99"/>
          </w:tcPr>
          <w:p w:rsidR="004770AF" w:rsidRPr="0052197A" w:rsidRDefault="004770AF" w:rsidP="006B035C">
            <w:pPr>
              <w:widowControl w:val="0"/>
              <w:tabs>
                <w:tab w:val="left" w:pos="380"/>
                <w:tab w:val="left" w:pos="1000"/>
              </w:tabs>
              <w:autoSpaceDE w:val="0"/>
              <w:autoSpaceDN w:val="0"/>
              <w:adjustRightInd w:val="0"/>
              <w:spacing w:before="60" w:after="60"/>
              <w:ind w:right="113"/>
              <w:cnfStyle w:val="000000100000" w:firstRow="0" w:lastRow="0" w:firstColumn="0" w:lastColumn="0" w:oddVBand="0" w:evenVBand="0" w:oddHBand="1" w:evenHBand="0" w:firstRowFirstColumn="0" w:firstRowLastColumn="0" w:lastRowFirstColumn="0" w:lastRowLastColumn="0"/>
              <w:rPr>
                <w:sz w:val="20"/>
                <w:szCs w:val="24"/>
              </w:rPr>
            </w:pPr>
          </w:p>
          <w:p w:rsidR="004B091D" w:rsidRPr="0052197A" w:rsidRDefault="004B091D" w:rsidP="004B091D">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Interpretar e produzir informação estatística e utilizá-la para resolver problemas e tomar decisões informadas e fundamentadas. </w:t>
            </w:r>
          </w:p>
          <w:p w:rsidR="004B091D" w:rsidRPr="0052197A" w:rsidRDefault="004B091D" w:rsidP="004B091D">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Recolher, organizar e representar dados recorrendo a diferentes representações, incluindo o diagrama de extremos e quartis, e interpretar a informação representada. </w:t>
            </w:r>
          </w:p>
          <w:p w:rsidR="004B091D" w:rsidRPr="0052197A" w:rsidRDefault="004B091D" w:rsidP="004B091D">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Distinguir as noções de população e amostra, discutindo os elementos que afetam a representatividade de uma amostra em relação à respetiva população. </w:t>
            </w:r>
          </w:p>
          <w:p w:rsidR="004B091D" w:rsidRPr="0052197A" w:rsidRDefault="004B091D" w:rsidP="004B091D">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Analisar e interpretar informação contida num conjunto de dados recorrendo às medidas estatísticas mais adequadas (mediana, quartis, amplitude interquartis, média, moda e amplitude) e reconhecer o seu significado no contexto de uma dada situação. </w:t>
            </w:r>
          </w:p>
          <w:p w:rsidR="004B091D" w:rsidRPr="0052197A" w:rsidRDefault="004B091D" w:rsidP="004B091D">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Planear e realizar estudos que envolvam procedimentos estatísticos, e interpretar os resultados usando linguagem estatística, incluindo a comparação de dois ou mais conjuntos de dados, identificando as suas semelhanças e diferenças.</w:t>
            </w:r>
          </w:p>
          <w:p w:rsidR="004B091D" w:rsidRPr="0052197A" w:rsidRDefault="004B091D" w:rsidP="004B091D">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Resolver problemas envolvendo a organização e tratamento de dados em contextos familiares variados e utilizar </w:t>
            </w:r>
            <w:r w:rsidRPr="0052197A">
              <w:rPr>
                <w:sz w:val="20"/>
                <w:szCs w:val="24"/>
              </w:rPr>
              <w:lastRenderedPageBreak/>
              <w:t xml:space="preserve">medidas estatísticas para os interpretar e tomar decisões. </w:t>
            </w:r>
          </w:p>
          <w:p w:rsidR="004B091D" w:rsidRPr="0052197A" w:rsidRDefault="004B091D" w:rsidP="004B091D">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Desenvolver a capacidade de compreender e de construir argumentos e raciocínios estatísticos. </w:t>
            </w:r>
          </w:p>
          <w:p w:rsidR="004B091D" w:rsidRPr="0052197A" w:rsidRDefault="004B091D" w:rsidP="004B091D">
            <w:pPr>
              <w:pStyle w:val="ListParagraph"/>
              <w:widowControl w:val="0"/>
              <w:numPr>
                <w:ilvl w:val="0"/>
                <w:numId w:val="1"/>
              </w:numPr>
              <w:tabs>
                <w:tab w:val="left" w:pos="380"/>
                <w:tab w:val="left" w:pos="1000"/>
              </w:tabs>
              <w:autoSpaceDE w:val="0"/>
              <w:autoSpaceDN w:val="0"/>
              <w:adjustRightInd w:val="0"/>
              <w:spacing w:before="60" w:after="60"/>
              <w:ind w:left="113" w:right="113" w:firstLine="0"/>
              <w:contextualSpacing w:val="0"/>
              <w:cnfStyle w:val="000000100000" w:firstRow="0" w:lastRow="0" w:firstColumn="0" w:lastColumn="0" w:oddVBand="0" w:evenVBand="0" w:oddHBand="1" w:evenHBand="0" w:firstRowFirstColumn="0" w:firstRowLastColumn="0" w:lastRowFirstColumn="0" w:lastRowLastColumn="0"/>
              <w:rPr>
                <w:sz w:val="20"/>
                <w:szCs w:val="24"/>
              </w:rPr>
            </w:pPr>
            <w:r w:rsidRPr="0052197A">
              <w:rPr>
                <w:sz w:val="20"/>
                <w:szCs w:val="24"/>
              </w:rPr>
              <w:t xml:space="preserve">Exprimir, oralmente e por escrito, raciocínios, procedimentos e conclusões, utilizando linguagem própria da estatística (convenções, notações, terminologia e simbologia). </w:t>
            </w:r>
          </w:p>
          <w:p w:rsidR="00596147" w:rsidRPr="0052197A" w:rsidRDefault="00596147" w:rsidP="00614B7E">
            <w:pPr>
              <w:widowControl w:val="0"/>
              <w:tabs>
                <w:tab w:val="left" w:pos="380"/>
                <w:tab w:val="left" w:pos="1000"/>
              </w:tabs>
              <w:autoSpaceDE w:val="0"/>
              <w:autoSpaceDN w:val="0"/>
              <w:adjustRightInd w:val="0"/>
              <w:spacing w:before="60" w:after="60"/>
              <w:ind w:left="113" w:right="113"/>
              <w:cnfStyle w:val="000000100000" w:firstRow="0" w:lastRow="0" w:firstColumn="0" w:lastColumn="0" w:oddVBand="0" w:evenVBand="0" w:oddHBand="1" w:evenHBand="0" w:firstRowFirstColumn="0" w:firstRowLastColumn="0" w:lastRowFirstColumn="0" w:lastRowLastColumn="0"/>
              <w:rPr>
                <w:sz w:val="20"/>
                <w:szCs w:val="24"/>
              </w:rPr>
            </w:pPr>
          </w:p>
        </w:tc>
      </w:tr>
    </w:tbl>
    <w:p w:rsidR="00B705E3" w:rsidRPr="0052197A" w:rsidRDefault="00B705E3"/>
    <w:p w:rsidR="00C1337D" w:rsidRPr="0052197A" w:rsidRDefault="00C1337D"/>
    <w:p w:rsidR="009F06B4" w:rsidRPr="0052197A" w:rsidRDefault="009F06B4" w:rsidP="0052197A">
      <w:pPr>
        <w:pStyle w:val="Heading1"/>
        <w:ind w:hanging="567"/>
        <w:rPr>
          <w:caps w:val="0"/>
          <w:sz w:val="24"/>
        </w:rPr>
      </w:pPr>
      <w:bookmarkStart w:id="2" w:name="_Toc523310726"/>
      <w:r w:rsidRPr="0052197A">
        <w:rPr>
          <w:caps w:val="0"/>
          <w:sz w:val="24"/>
        </w:rPr>
        <w:t>Principais alterações introduzidas pelas Aprendizagens Essenciais</w:t>
      </w:r>
      <w:bookmarkEnd w:id="2"/>
    </w:p>
    <w:tbl>
      <w:tblPr>
        <w:tblStyle w:val="TableGrid"/>
        <w:tblW w:w="9639" w:type="dxa"/>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9F06B4" w:rsidRPr="0052197A" w:rsidTr="006A62E8">
        <w:trPr>
          <w:trHeight w:val="447"/>
          <w:jc w:val="center"/>
        </w:trPr>
        <w:tc>
          <w:tcPr>
            <w:tcW w:w="4820" w:type="dxa"/>
            <w:shd w:val="clear" w:color="auto" w:fill="FFC000"/>
            <w:vAlign w:val="center"/>
          </w:tcPr>
          <w:p w:rsidR="009F06B4" w:rsidRPr="0052197A" w:rsidRDefault="009F06B4" w:rsidP="00A93ABB">
            <w:pPr>
              <w:spacing w:before="120" w:after="120"/>
              <w:jc w:val="center"/>
              <w:rPr>
                <w:b/>
                <w:bCs/>
                <w:sz w:val="20"/>
              </w:rPr>
            </w:pPr>
            <w:bookmarkStart w:id="3" w:name="_GoBack" w:colFirst="0" w:colLast="1"/>
            <w:r w:rsidRPr="0052197A">
              <w:rPr>
                <w:b/>
                <w:bCs/>
                <w:sz w:val="20"/>
              </w:rPr>
              <w:t>O que não consta nas Aprendizagens Essenciais?</w:t>
            </w:r>
          </w:p>
        </w:tc>
        <w:tc>
          <w:tcPr>
            <w:tcW w:w="4820" w:type="dxa"/>
            <w:shd w:val="clear" w:color="auto" w:fill="FFC000"/>
            <w:vAlign w:val="center"/>
          </w:tcPr>
          <w:p w:rsidR="009F06B4" w:rsidRPr="0052197A" w:rsidRDefault="009F06B4" w:rsidP="00A93ABB">
            <w:pPr>
              <w:spacing w:before="120" w:after="120"/>
              <w:jc w:val="center"/>
              <w:rPr>
                <w:b/>
                <w:bCs/>
                <w:sz w:val="20"/>
              </w:rPr>
            </w:pPr>
            <w:r w:rsidRPr="0052197A">
              <w:rPr>
                <w:b/>
                <w:bCs/>
                <w:sz w:val="20"/>
              </w:rPr>
              <w:t>O que surge com as Aprendizagens Essenciais?</w:t>
            </w:r>
          </w:p>
        </w:tc>
      </w:tr>
      <w:bookmarkEnd w:id="3"/>
      <w:tr w:rsidR="009F06B4" w:rsidRPr="0052197A" w:rsidTr="006A62E8">
        <w:trPr>
          <w:jc w:val="center"/>
        </w:trPr>
        <w:tc>
          <w:tcPr>
            <w:tcW w:w="4820" w:type="dxa"/>
            <w:shd w:val="clear" w:color="auto" w:fill="FBD4B4" w:themeFill="accent6" w:themeFillTint="66"/>
          </w:tcPr>
          <w:p w:rsidR="00115F23" w:rsidRPr="0052197A" w:rsidRDefault="00115F23" w:rsidP="00115F23">
            <w:pPr>
              <w:pStyle w:val="ListParagraph"/>
              <w:widowControl w:val="0"/>
              <w:numPr>
                <w:ilvl w:val="0"/>
                <w:numId w:val="2"/>
              </w:numPr>
              <w:tabs>
                <w:tab w:val="left" w:pos="380"/>
                <w:tab w:val="left" w:pos="1000"/>
              </w:tabs>
              <w:autoSpaceDE w:val="0"/>
              <w:autoSpaceDN w:val="0"/>
              <w:adjustRightInd w:val="0"/>
              <w:spacing w:before="60" w:after="60"/>
              <w:ind w:right="113"/>
              <w:contextualSpacing w:val="0"/>
              <w:rPr>
                <w:bCs/>
              </w:rPr>
            </w:pPr>
            <w:r w:rsidRPr="0052197A">
              <w:rPr>
                <w:sz w:val="20"/>
                <w:szCs w:val="24"/>
              </w:rPr>
              <w:t xml:space="preserve">Estudo das propriedades das operações </w:t>
            </w:r>
            <w:proofErr w:type="gramStart"/>
            <w:r w:rsidRPr="0052197A">
              <w:rPr>
                <w:sz w:val="20"/>
                <w:szCs w:val="24"/>
              </w:rPr>
              <w:t xml:space="preserve">em </w:t>
            </w:r>
            <m:oMath>
              <m:r>
                <m:rPr>
                  <m:scr m:val="double-struck"/>
                </m:rPr>
                <w:rPr>
                  <w:rFonts w:ascii="Cambria Math" w:hAnsi="Cambria Math"/>
                  <w:sz w:val="20"/>
                  <w:szCs w:val="24"/>
                </w:rPr>
                <m:t>R</m:t>
              </m:r>
            </m:oMath>
            <w:r w:rsidRPr="0052197A">
              <w:rPr>
                <w:sz w:val="20"/>
                <w:szCs w:val="24"/>
              </w:rPr>
              <w:t>.</w:t>
            </w:r>
            <w:proofErr w:type="gramEnd"/>
          </w:p>
          <w:p w:rsidR="009F06B4" w:rsidRPr="0052197A" w:rsidRDefault="00115F23" w:rsidP="00115F23">
            <w:pPr>
              <w:pStyle w:val="ListParagraph"/>
              <w:widowControl w:val="0"/>
              <w:numPr>
                <w:ilvl w:val="0"/>
                <w:numId w:val="2"/>
              </w:numPr>
              <w:tabs>
                <w:tab w:val="left" w:pos="380"/>
                <w:tab w:val="left" w:pos="1000"/>
              </w:tabs>
              <w:autoSpaceDE w:val="0"/>
              <w:autoSpaceDN w:val="0"/>
              <w:adjustRightInd w:val="0"/>
              <w:spacing w:before="60" w:after="60"/>
              <w:ind w:right="113"/>
              <w:contextualSpacing w:val="0"/>
              <w:rPr>
                <w:bCs/>
              </w:rPr>
            </w:pPr>
            <w:r w:rsidRPr="0052197A">
              <w:rPr>
                <w:sz w:val="20"/>
                <w:szCs w:val="24"/>
              </w:rPr>
              <w:t>A resolução de problemas envolvendo o teorema de Tales.</w:t>
            </w:r>
          </w:p>
        </w:tc>
        <w:tc>
          <w:tcPr>
            <w:tcW w:w="4820" w:type="dxa"/>
            <w:shd w:val="clear" w:color="auto" w:fill="FBD4B4" w:themeFill="accent6" w:themeFillTint="66"/>
          </w:tcPr>
          <w:p w:rsidR="009F06B4" w:rsidRPr="0052197A" w:rsidRDefault="009F06B4" w:rsidP="00A01254">
            <w:pPr>
              <w:pStyle w:val="ListParagraph"/>
              <w:widowControl w:val="0"/>
              <w:numPr>
                <w:ilvl w:val="0"/>
                <w:numId w:val="2"/>
              </w:numPr>
              <w:tabs>
                <w:tab w:val="left" w:pos="380"/>
                <w:tab w:val="left" w:pos="1000"/>
              </w:tabs>
              <w:autoSpaceDE w:val="0"/>
              <w:autoSpaceDN w:val="0"/>
              <w:adjustRightInd w:val="0"/>
              <w:spacing w:before="60" w:after="60"/>
              <w:ind w:right="113"/>
              <w:contextualSpacing w:val="0"/>
              <w:rPr>
                <w:sz w:val="20"/>
                <w:szCs w:val="24"/>
              </w:rPr>
            </w:pPr>
            <w:r w:rsidRPr="0052197A">
              <w:rPr>
                <w:sz w:val="20"/>
                <w:szCs w:val="24"/>
              </w:rPr>
              <w:t>As propriedades dos sólidos geométricos</w:t>
            </w:r>
            <w:r w:rsidR="005047C1" w:rsidRPr="0052197A">
              <w:rPr>
                <w:sz w:val="20"/>
                <w:szCs w:val="24"/>
              </w:rPr>
              <w:t xml:space="preserve">, incluindo pirâmides e cones, </w:t>
            </w:r>
            <w:r w:rsidRPr="0052197A">
              <w:rPr>
                <w:sz w:val="20"/>
                <w:szCs w:val="24"/>
              </w:rPr>
              <w:t>e a respetiva classificação</w:t>
            </w:r>
            <w:r w:rsidR="005047C1" w:rsidRPr="0052197A">
              <w:rPr>
                <w:sz w:val="20"/>
                <w:szCs w:val="24"/>
              </w:rPr>
              <w:t xml:space="preserve"> de acordo com essas propriedades.</w:t>
            </w:r>
          </w:p>
          <w:p w:rsidR="009F06B4" w:rsidRPr="0052197A" w:rsidRDefault="00A01254" w:rsidP="00E872A6">
            <w:pPr>
              <w:pStyle w:val="ListParagraph"/>
              <w:widowControl w:val="0"/>
              <w:numPr>
                <w:ilvl w:val="0"/>
                <w:numId w:val="2"/>
              </w:numPr>
              <w:tabs>
                <w:tab w:val="left" w:pos="380"/>
                <w:tab w:val="left" w:pos="1000"/>
              </w:tabs>
              <w:autoSpaceDE w:val="0"/>
              <w:autoSpaceDN w:val="0"/>
              <w:adjustRightInd w:val="0"/>
              <w:spacing w:before="60" w:after="60"/>
              <w:ind w:right="113"/>
              <w:contextualSpacing w:val="0"/>
              <w:rPr>
                <w:sz w:val="20"/>
                <w:szCs w:val="24"/>
              </w:rPr>
            </w:pPr>
            <w:r w:rsidRPr="0052197A">
              <w:rPr>
                <w:sz w:val="20"/>
                <w:szCs w:val="24"/>
              </w:rPr>
              <w:t xml:space="preserve">Noções de população e amostra, </w:t>
            </w:r>
            <w:r w:rsidR="00E872A6" w:rsidRPr="0052197A">
              <w:rPr>
                <w:sz w:val="20"/>
                <w:szCs w:val="24"/>
              </w:rPr>
              <w:t xml:space="preserve">e a </w:t>
            </w:r>
            <w:r w:rsidRPr="0052197A">
              <w:rPr>
                <w:sz w:val="20"/>
                <w:szCs w:val="24"/>
              </w:rPr>
              <w:t xml:space="preserve">representatividade de uma amostra em relação à respetiva população. </w:t>
            </w:r>
          </w:p>
        </w:tc>
      </w:tr>
    </w:tbl>
    <w:p w:rsidR="00F714F9" w:rsidRPr="0052197A" w:rsidRDefault="00F714F9" w:rsidP="00121DBD">
      <w:pPr>
        <w:spacing w:after="120"/>
        <w:rPr>
          <w:bCs/>
        </w:rPr>
      </w:pPr>
    </w:p>
    <w:sectPr w:rsidR="00F714F9" w:rsidRPr="0052197A" w:rsidSect="00FE5B19">
      <w:footerReference w:type="default" r:id="rId12"/>
      <w:footerReference w:type="first" r:id="rId13"/>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15" w:rsidRDefault="00014515" w:rsidP="003B2A39">
      <w:pPr>
        <w:spacing w:after="0" w:line="240" w:lineRule="auto"/>
      </w:pPr>
      <w:r>
        <w:separator/>
      </w:r>
    </w:p>
  </w:endnote>
  <w:endnote w:type="continuationSeparator" w:id="0">
    <w:p w:rsidR="00014515" w:rsidRDefault="00014515" w:rsidP="003B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928258"/>
      <w:docPartObj>
        <w:docPartGallery w:val="Page Numbers (Bottom of Page)"/>
        <w:docPartUnique/>
      </w:docPartObj>
    </w:sdtPr>
    <w:sdtEndPr>
      <w:rPr>
        <w:noProof/>
      </w:rPr>
    </w:sdtEndPr>
    <w:sdtContent>
      <w:p w:rsidR="0052197A" w:rsidRDefault="0052197A">
        <w:pPr>
          <w:pStyle w:val="Footer"/>
          <w:jc w:val="right"/>
        </w:pPr>
        <w:r>
          <w:fldChar w:fldCharType="begin"/>
        </w:r>
        <w:r>
          <w:instrText xml:space="preserve"> PAGE   \* MERGEFORMAT </w:instrText>
        </w:r>
        <w:r>
          <w:fldChar w:fldCharType="separate"/>
        </w:r>
        <w:r w:rsidR="006A62E8">
          <w:rPr>
            <w:noProof/>
          </w:rPr>
          <w:t>9</w:t>
        </w:r>
        <w:r>
          <w:rPr>
            <w:noProof/>
          </w:rPr>
          <w:fldChar w:fldCharType="end"/>
        </w:r>
      </w:p>
    </w:sdtContent>
  </w:sdt>
  <w:p w:rsidR="0052197A" w:rsidRDefault="0052197A" w:rsidP="0052197A">
    <w:pPr>
      <w:pStyle w:val="Footer"/>
    </w:pPr>
    <w:r>
      <w:rPr>
        <w:noProof/>
        <w:lang w:eastAsia="pt-PT"/>
      </w:rPr>
      <w:drawing>
        <wp:inline distT="0" distB="0" distL="0" distR="0" wp14:anchorId="6E696775" wp14:editId="5CB2EA1D">
          <wp:extent cx="360680" cy="313055"/>
          <wp:effectExtent l="0" t="0" r="1270" b="0"/>
          <wp:docPr id="2" name="Picture 2" descr="C:\Users\mvital\Documents\Asa - Gestão\Utéis\Logotipos\PROPOSTA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tal\Documents\Asa - Gestão\Utéis\Logotipos\PROPOSTAS_02.jpg"/>
                  <pic:cNvPicPr>
                    <a:picLocks noChangeAspect="1" noChangeArrowheads="1"/>
                  </pic:cNvPicPr>
                </pic:nvPicPr>
                <pic:blipFill>
                  <a:blip r:embed="rId1">
                    <a:extLst>
                      <a:ext uri="{28A0092B-C50C-407E-A947-70E740481C1C}">
                        <a14:useLocalDpi xmlns:a14="http://schemas.microsoft.com/office/drawing/2010/main" val="0"/>
                      </a:ext>
                    </a:extLst>
                  </a:blip>
                  <a:srcRect l="45587" t="49254" r="39499" b="32236"/>
                  <a:stretch>
                    <a:fillRect/>
                  </a:stretch>
                </pic:blipFill>
                <pic:spPr bwMode="auto">
                  <a:xfrm>
                    <a:off x="0" y="0"/>
                    <a:ext cx="360680" cy="313055"/>
                  </a:xfrm>
                  <a:prstGeom prst="rect">
                    <a:avLst/>
                  </a:prstGeom>
                  <a:noFill/>
                  <a:ln>
                    <a:noFill/>
                  </a:ln>
                </pic:spPr>
              </pic:pic>
            </a:graphicData>
          </a:graphic>
        </wp:inline>
      </w:drawing>
    </w:r>
    <w:r>
      <w:rPr>
        <w:noProof/>
        <w:lang w:eastAsia="pt-PT"/>
      </w:rPr>
      <w:drawing>
        <wp:inline distT="0" distB="0" distL="0" distR="0" wp14:anchorId="56CC490E" wp14:editId="761B74DA">
          <wp:extent cx="288925" cy="216535"/>
          <wp:effectExtent l="0" t="0" r="0" b="0"/>
          <wp:docPr id="3" name="Picture 3" descr="C:\Users\mvital\Documents\Asa - Gestão\Utéis\Logotipos\PROPOSTA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tal\Documents\Asa - Gestão\Utéis\Logotipos\PROPOSTAS_02.jpg"/>
                  <pic:cNvPicPr>
                    <a:picLocks noChangeAspect="1" noChangeArrowheads="1"/>
                  </pic:cNvPicPr>
                </pic:nvPicPr>
                <pic:blipFill>
                  <a:blip r:embed="rId1">
                    <a:extLst>
                      <a:ext uri="{28A0092B-C50C-407E-A947-70E740481C1C}">
                        <a14:useLocalDpi xmlns:a14="http://schemas.microsoft.com/office/drawing/2010/main" val="0"/>
                      </a:ext>
                    </a:extLst>
                  </a:blip>
                  <a:srcRect l="45605" t="68004" r="39499" b="14528"/>
                  <a:stretch>
                    <a:fillRect/>
                  </a:stretch>
                </pic:blipFill>
                <pic:spPr bwMode="auto">
                  <a:xfrm>
                    <a:off x="0" y="0"/>
                    <a:ext cx="288925" cy="216535"/>
                  </a:xfrm>
                  <a:prstGeom prst="rect">
                    <a:avLst/>
                  </a:prstGeom>
                  <a:noFill/>
                  <a:ln>
                    <a:noFill/>
                  </a:ln>
                </pic:spPr>
              </pic:pic>
            </a:graphicData>
          </a:graphic>
        </wp:inline>
      </w:drawing>
    </w:r>
  </w:p>
  <w:p w:rsidR="0052197A" w:rsidRDefault="00521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19" w:rsidRDefault="00FE5B19" w:rsidP="00FE5B19">
    <w:pPr>
      <w:pStyle w:val="Footer"/>
    </w:pPr>
    <w:r>
      <w:rPr>
        <w:noProof/>
        <w:lang w:eastAsia="pt-PT"/>
      </w:rPr>
      <w:drawing>
        <wp:inline distT="0" distB="0" distL="0" distR="0" wp14:anchorId="5A5A4DA8" wp14:editId="556219B8">
          <wp:extent cx="371475" cy="304800"/>
          <wp:effectExtent l="0" t="0" r="9525" b="0"/>
          <wp:docPr id="5" name="Picture 5" descr="PROPOSTA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STAS_02"/>
                  <pic:cNvPicPr>
                    <a:picLocks noChangeAspect="1" noChangeArrowheads="1"/>
                  </pic:cNvPicPr>
                </pic:nvPicPr>
                <pic:blipFill>
                  <a:blip r:embed="rId1">
                    <a:extLst>
                      <a:ext uri="{28A0092B-C50C-407E-A947-70E740481C1C}">
                        <a14:useLocalDpi xmlns:a14="http://schemas.microsoft.com/office/drawing/2010/main" val="0"/>
                      </a:ext>
                    </a:extLst>
                  </a:blip>
                  <a:srcRect l="45587" t="49254" r="39499" b="32236"/>
                  <a:stretch>
                    <a:fillRect/>
                  </a:stretch>
                </pic:blipFill>
                <pic:spPr bwMode="auto">
                  <a:xfrm>
                    <a:off x="0" y="0"/>
                    <a:ext cx="371475" cy="304800"/>
                  </a:xfrm>
                  <a:prstGeom prst="rect">
                    <a:avLst/>
                  </a:prstGeom>
                  <a:noFill/>
                  <a:ln>
                    <a:noFill/>
                  </a:ln>
                </pic:spPr>
              </pic:pic>
            </a:graphicData>
          </a:graphic>
        </wp:inline>
      </w:drawing>
    </w:r>
    <w:r>
      <w:rPr>
        <w:noProof/>
        <w:lang w:eastAsia="pt-PT"/>
      </w:rPr>
      <w:drawing>
        <wp:inline distT="0" distB="0" distL="0" distR="0" wp14:anchorId="2F819311" wp14:editId="18F3CA3F">
          <wp:extent cx="285750" cy="228600"/>
          <wp:effectExtent l="0" t="0" r="0" b="0"/>
          <wp:docPr id="6" name="Picture 6" descr="PROPOSTA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OSTAS_02"/>
                  <pic:cNvPicPr>
                    <a:picLocks noChangeAspect="1" noChangeArrowheads="1"/>
                  </pic:cNvPicPr>
                </pic:nvPicPr>
                <pic:blipFill>
                  <a:blip r:embed="rId1">
                    <a:extLst>
                      <a:ext uri="{28A0092B-C50C-407E-A947-70E740481C1C}">
                        <a14:useLocalDpi xmlns:a14="http://schemas.microsoft.com/office/drawing/2010/main" val="0"/>
                      </a:ext>
                    </a:extLst>
                  </a:blip>
                  <a:srcRect l="45605" t="68004" r="39499" b="14528"/>
                  <a:stretch>
                    <a:fillRect/>
                  </a:stretch>
                </pic:blipFill>
                <pic:spPr bwMode="auto">
                  <a:xfrm>
                    <a:off x="0" y="0"/>
                    <a:ext cx="285750" cy="228600"/>
                  </a:xfrm>
                  <a:prstGeom prst="rect">
                    <a:avLst/>
                  </a:prstGeom>
                  <a:noFill/>
                  <a:ln>
                    <a:noFill/>
                  </a:ln>
                </pic:spPr>
              </pic:pic>
            </a:graphicData>
          </a:graphic>
        </wp:inline>
      </w:drawing>
    </w:r>
  </w:p>
  <w:p w:rsidR="00FE5B19" w:rsidRDefault="00FE5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15" w:rsidRDefault="00014515" w:rsidP="003B2A39">
      <w:pPr>
        <w:spacing w:after="0" w:line="240" w:lineRule="auto"/>
      </w:pPr>
      <w:r>
        <w:separator/>
      </w:r>
    </w:p>
  </w:footnote>
  <w:footnote w:type="continuationSeparator" w:id="0">
    <w:p w:rsidR="00014515" w:rsidRDefault="00014515" w:rsidP="003B2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406"/>
    <w:multiLevelType w:val="hybridMultilevel"/>
    <w:tmpl w:val="51EE7A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54341EFB"/>
    <w:multiLevelType w:val="hybridMultilevel"/>
    <w:tmpl w:val="4F721B04"/>
    <w:lvl w:ilvl="0" w:tplc="5C382B58">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DF"/>
    <w:rsid w:val="00014515"/>
    <w:rsid w:val="00017C5B"/>
    <w:rsid w:val="00115F23"/>
    <w:rsid w:val="00121DBD"/>
    <w:rsid w:val="0021454C"/>
    <w:rsid w:val="00225FB8"/>
    <w:rsid w:val="00240584"/>
    <w:rsid w:val="00243539"/>
    <w:rsid w:val="002922A6"/>
    <w:rsid w:val="002C3E70"/>
    <w:rsid w:val="002E6657"/>
    <w:rsid w:val="00391458"/>
    <w:rsid w:val="00392DF0"/>
    <w:rsid w:val="003B2A39"/>
    <w:rsid w:val="003C1FDF"/>
    <w:rsid w:val="004770AF"/>
    <w:rsid w:val="004A73FC"/>
    <w:rsid w:val="004B091D"/>
    <w:rsid w:val="004B7EAD"/>
    <w:rsid w:val="005047C1"/>
    <w:rsid w:val="005057C2"/>
    <w:rsid w:val="0052197A"/>
    <w:rsid w:val="00556DB8"/>
    <w:rsid w:val="00596147"/>
    <w:rsid w:val="005B7877"/>
    <w:rsid w:val="005E3A1A"/>
    <w:rsid w:val="005E7F57"/>
    <w:rsid w:val="00614B7E"/>
    <w:rsid w:val="006A62E8"/>
    <w:rsid w:val="006B035C"/>
    <w:rsid w:val="0070030C"/>
    <w:rsid w:val="007239F2"/>
    <w:rsid w:val="007268DB"/>
    <w:rsid w:val="00776E86"/>
    <w:rsid w:val="00797E19"/>
    <w:rsid w:val="00827814"/>
    <w:rsid w:val="008436B7"/>
    <w:rsid w:val="00850070"/>
    <w:rsid w:val="00864A7B"/>
    <w:rsid w:val="008C7441"/>
    <w:rsid w:val="00947DC9"/>
    <w:rsid w:val="00954A80"/>
    <w:rsid w:val="009E1757"/>
    <w:rsid w:val="009E2D42"/>
    <w:rsid w:val="009F06B4"/>
    <w:rsid w:val="00A01254"/>
    <w:rsid w:val="00A102EB"/>
    <w:rsid w:val="00A1056B"/>
    <w:rsid w:val="00B64E56"/>
    <w:rsid w:val="00B705E3"/>
    <w:rsid w:val="00C1337D"/>
    <w:rsid w:val="00CC4230"/>
    <w:rsid w:val="00D706C4"/>
    <w:rsid w:val="00DF6150"/>
    <w:rsid w:val="00E511AF"/>
    <w:rsid w:val="00E54EC6"/>
    <w:rsid w:val="00E74F6D"/>
    <w:rsid w:val="00E872A6"/>
    <w:rsid w:val="00EE60F4"/>
    <w:rsid w:val="00F109EA"/>
    <w:rsid w:val="00F45F44"/>
    <w:rsid w:val="00F714F9"/>
    <w:rsid w:val="00FE5B1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197A"/>
    <w:pPr>
      <w:keepNext/>
      <w:keepLines/>
      <w:spacing w:before="240" w:after="0" w:line="240" w:lineRule="auto"/>
      <w:outlineLvl w:val="0"/>
    </w:pPr>
    <w:rPr>
      <w:rFonts w:eastAsiaTheme="majorEastAsia" w:cstheme="majorBidi"/>
      <w:b/>
      <w:caps/>
      <w:color w:val="E36C0A" w:themeColor="accent6" w:themeShade="BF"/>
      <w:spacing w:val="20"/>
      <w:sz w:val="32"/>
      <w:szCs w:val="32"/>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3C1F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3C1FD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3C1FDF"/>
    <w:pPr>
      <w:ind w:left="720"/>
      <w:contextualSpacing/>
    </w:pPr>
    <w:rPr>
      <w:rFonts w:eastAsiaTheme="minorEastAsia" w:cs="Times New Roman"/>
      <w:lang w:eastAsia="pt-PT"/>
    </w:rPr>
  </w:style>
  <w:style w:type="paragraph" w:customStyle="1" w:styleId="Default">
    <w:name w:val="Default"/>
    <w:rsid w:val="003C1FD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C1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DF"/>
    <w:rPr>
      <w:rFonts w:ascii="Tahoma" w:hAnsi="Tahoma" w:cs="Tahoma"/>
      <w:sz w:val="16"/>
      <w:szCs w:val="16"/>
    </w:rPr>
  </w:style>
  <w:style w:type="character" w:styleId="PlaceholderText">
    <w:name w:val="Placeholder Text"/>
    <w:basedOn w:val="DefaultParagraphFont"/>
    <w:uiPriority w:val="99"/>
    <w:semiHidden/>
    <w:rsid w:val="007239F2"/>
    <w:rPr>
      <w:color w:val="808080"/>
    </w:rPr>
  </w:style>
  <w:style w:type="character" w:styleId="CommentReference">
    <w:name w:val="annotation reference"/>
    <w:basedOn w:val="DefaultParagraphFont"/>
    <w:uiPriority w:val="99"/>
    <w:semiHidden/>
    <w:unhideWhenUsed/>
    <w:rsid w:val="00C1337D"/>
    <w:rPr>
      <w:sz w:val="16"/>
      <w:szCs w:val="16"/>
    </w:rPr>
  </w:style>
  <w:style w:type="paragraph" w:styleId="CommentText">
    <w:name w:val="annotation text"/>
    <w:basedOn w:val="Normal"/>
    <w:link w:val="CommentTextChar"/>
    <w:uiPriority w:val="99"/>
    <w:semiHidden/>
    <w:unhideWhenUsed/>
    <w:rsid w:val="00C1337D"/>
    <w:pPr>
      <w:spacing w:line="240" w:lineRule="auto"/>
    </w:pPr>
    <w:rPr>
      <w:sz w:val="20"/>
      <w:szCs w:val="20"/>
    </w:rPr>
  </w:style>
  <w:style w:type="character" w:customStyle="1" w:styleId="CommentTextChar">
    <w:name w:val="Comment Text Char"/>
    <w:basedOn w:val="DefaultParagraphFont"/>
    <w:link w:val="CommentText"/>
    <w:uiPriority w:val="99"/>
    <w:semiHidden/>
    <w:rsid w:val="00C1337D"/>
    <w:rPr>
      <w:sz w:val="20"/>
      <w:szCs w:val="20"/>
    </w:rPr>
  </w:style>
  <w:style w:type="paragraph" w:styleId="CommentSubject">
    <w:name w:val="annotation subject"/>
    <w:basedOn w:val="CommentText"/>
    <w:next w:val="CommentText"/>
    <w:link w:val="CommentSubjectChar"/>
    <w:uiPriority w:val="99"/>
    <w:semiHidden/>
    <w:unhideWhenUsed/>
    <w:rsid w:val="00C1337D"/>
    <w:rPr>
      <w:b/>
      <w:bCs/>
    </w:rPr>
  </w:style>
  <w:style w:type="character" w:customStyle="1" w:styleId="CommentSubjectChar">
    <w:name w:val="Comment Subject Char"/>
    <w:basedOn w:val="CommentTextChar"/>
    <w:link w:val="CommentSubject"/>
    <w:uiPriority w:val="99"/>
    <w:semiHidden/>
    <w:rsid w:val="00C1337D"/>
    <w:rPr>
      <w:b/>
      <w:bCs/>
      <w:sz w:val="20"/>
      <w:szCs w:val="20"/>
    </w:rPr>
  </w:style>
  <w:style w:type="character" w:styleId="Hyperlink">
    <w:name w:val="Hyperlink"/>
    <w:basedOn w:val="DefaultParagraphFont"/>
    <w:uiPriority w:val="99"/>
    <w:unhideWhenUsed/>
    <w:rsid w:val="003B2A39"/>
    <w:rPr>
      <w:color w:val="0000FF" w:themeColor="hyperlink"/>
      <w:u w:val="single"/>
    </w:rPr>
  </w:style>
  <w:style w:type="paragraph" w:styleId="Header">
    <w:name w:val="header"/>
    <w:basedOn w:val="Normal"/>
    <w:link w:val="HeaderChar"/>
    <w:uiPriority w:val="99"/>
    <w:unhideWhenUsed/>
    <w:rsid w:val="003B2A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3B2A39"/>
  </w:style>
  <w:style w:type="paragraph" w:styleId="Footer">
    <w:name w:val="footer"/>
    <w:basedOn w:val="Normal"/>
    <w:link w:val="FooterChar"/>
    <w:uiPriority w:val="99"/>
    <w:unhideWhenUsed/>
    <w:rsid w:val="003B2A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3B2A39"/>
  </w:style>
  <w:style w:type="paragraph" w:styleId="Subtitle">
    <w:name w:val="Subtitle"/>
    <w:basedOn w:val="Normal"/>
    <w:next w:val="Normal"/>
    <w:link w:val="SubtitleChar"/>
    <w:uiPriority w:val="11"/>
    <w:qFormat/>
    <w:rsid w:val="00FE5B19"/>
    <w:pPr>
      <w:numPr>
        <w:ilvl w:val="1"/>
      </w:numPr>
      <w:spacing w:after="120" w:line="300" w:lineRule="auto"/>
      <w:jc w:val="center"/>
    </w:pPr>
    <w:rPr>
      <w:rFonts w:eastAsiaTheme="majorEastAsia" w:cstheme="majorBidi"/>
      <w:iCs/>
      <w:color w:val="000000" w:themeColor="text1"/>
      <w:spacing w:val="15"/>
      <w:sz w:val="28"/>
      <w:szCs w:val="28"/>
      <w:lang w:eastAsia="pt-PT"/>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FE5B19"/>
    <w:rPr>
      <w:rFonts w:eastAsiaTheme="majorEastAsia" w:cstheme="majorBidi"/>
      <w:iCs/>
      <w:color w:val="000000" w:themeColor="text1"/>
      <w:spacing w:val="15"/>
      <w:sz w:val="28"/>
      <w:szCs w:val="28"/>
      <w:lang w:eastAsia="pt-PT"/>
      <w14:textFill>
        <w14:solidFill>
          <w14:schemeClr w14:val="tx1">
            <w14:lumMod w14:val="65000"/>
            <w14:lumOff w14:val="35000"/>
            <w14:lumMod w14:val="50000"/>
          </w14:schemeClr>
        </w14:solidFill>
      </w14:textFill>
    </w:rPr>
  </w:style>
  <w:style w:type="character" w:customStyle="1" w:styleId="Heading1Char">
    <w:name w:val="Heading 1 Char"/>
    <w:basedOn w:val="DefaultParagraphFont"/>
    <w:link w:val="Heading1"/>
    <w:uiPriority w:val="9"/>
    <w:rsid w:val="0052197A"/>
    <w:rPr>
      <w:rFonts w:eastAsiaTheme="majorEastAsia" w:cstheme="majorBidi"/>
      <w:b/>
      <w:caps/>
      <w:color w:val="E36C0A" w:themeColor="accent6" w:themeShade="BF"/>
      <w:spacing w:val="20"/>
      <w:sz w:val="32"/>
      <w:szCs w:val="32"/>
      <w:lang w:eastAsia="pt-PT"/>
    </w:rPr>
  </w:style>
  <w:style w:type="paragraph" w:styleId="TOCHeading">
    <w:name w:val="TOC Heading"/>
    <w:basedOn w:val="Heading1"/>
    <w:next w:val="Normal"/>
    <w:uiPriority w:val="39"/>
    <w:semiHidden/>
    <w:unhideWhenUsed/>
    <w:qFormat/>
    <w:rsid w:val="0052197A"/>
    <w:pPr>
      <w:spacing w:before="480" w:line="276" w:lineRule="auto"/>
      <w:outlineLvl w:val="9"/>
    </w:pPr>
    <w:rPr>
      <w:rFonts w:asciiTheme="majorHAnsi" w:hAnsiTheme="majorHAnsi"/>
      <w:bCs/>
      <w:caps w:val="0"/>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52197A"/>
    <w:pPr>
      <w:spacing w:after="100"/>
    </w:pPr>
  </w:style>
  <w:style w:type="paragraph" w:styleId="Revision">
    <w:name w:val="Revision"/>
    <w:hidden/>
    <w:uiPriority w:val="99"/>
    <w:semiHidden/>
    <w:rsid w:val="00954A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197A"/>
    <w:pPr>
      <w:keepNext/>
      <w:keepLines/>
      <w:spacing w:before="240" w:after="0" w:line="240" w:lineRule="auto"/>
      <w:outlineLvl w:val="0"/>
    </w:pPr>
    <w:rPr>
      <w:rFonts w:eastAsiaTheme="majorEastAsia" w:cstheme="majorBidi"/>
      <w:b/>
      <w:caps/>
      <w:color w:val="E36C0A" w:themeColor="accent6" w:themeShade="BF"/>
      <w:spacing w:val="20"/>
      <w:sz w:val="32"/>
      <w:szCs w:val="32"/>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3C1F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3C1FD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3C1FDF"/>
    <w:pPr>
      <w:ind w:left="720"/>
      <w:contextualSpacing/>
    </w:pPr>
    <w:rPr>
      <w:rFonts w:eastAsiaTheme="minorEastAsia" w:cs="Times New Roman"/>
      <w:lang w:eastAsia="pt-PT"/>
    </w:rPr>
  </w:style>
  <w:style w:type="paragraph" w:customStyle="1" w:styleId="Default">
    <w:name w:val="Default"/>
    <w:rsid w:val="003C1FD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C1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DF"/>
    <w:rPr>
      <w:rFonts w:ascii="Tahoma" w:hAnsi="Tahoma" w:cs="Tahoma"/>
      <w:sz w:val="16"/>
      <w:szCs w:val="16"/>
    </w:rPr>
  </w:style>
  <w:style w:type="character" w:styleId="PlaceholderText">
    <w:name w:val="Placeholder Text"/>
    <w:basedOn w:val="DefaultParagraphFont"/>
    <w:uiPriority w:val="99"/>
    <w:semiHidden/>
    <w:rsid w:val="007239F2"/>
    <w:rPr>
      <w:color w:val="808080"/>
    </w:rPr>
  </w:style>
  <w:style w:type="character" w:styleId="CommentReference">
    <w:name w:val="annotation reference"/>
    <w:basedOn w:val="DefaultParagraphFont"/>
    <w:uiPriority w:val="99"/>
    <w:semiHidden/>
    <w:unhideWhenUsed/>
    <w:rsid w:val="00C1337D"/>
    <w:rPr>
      <w:sz w:val="16"/>
      <w:szCs w:val="16"/>
    </w:rPr>
  </w:style>
  <w:style w:type="paragraph" w:styleId="CommentText">
    <w:name w:val="annotation text"/>
    <w:basedOn w:val="Normal"/>
    <w:link w:val="CommentTextChar"/>
    <w:uiPriority w:val="99"/>
    <w:semiHidden/>
    <w:unhideWhenUsed/>
    <w:rsid w:val="00C1337D"/>
    <w:pPr>
      <w:spacing w:line="240" w:lineRule="auto"/>
    </w:pPr>
    <w:rPr>
      <w:sz w:val="20"/>
      <w:szCs w:val="20"/>
    </w:rPr>
  </w:style>
  <w:style w:type="character" w:customStyle="1" w:styleId="CommentTextChar">
    <w:name w:val="Comment Text Char"/>
    <w:basedOn w:val="DefaultParagraphFont"/>
    <w:link w:val="CommentText"/>
    <w:uiPriority w:val="99"/>
    <w:semiHidden/>
    <w:rsid w:val="00C1337D"/>
    <w:rPr>
      <w:sz w:val="20"/>
      <w:szCs w:val="20"/>
    </w:rPr>
  </w:style>
  <w:style w:type="paragraph" w:styleId="CommentSubject">
    <w:name w:val="annotation subject"/>
    <w:basedOn w:val="CommentText"/>
    <w:next w:val="CommentText"/>
    <w:link w:val="CommentSubjectChar"/>
    <w:uiPriority w:val="99"/>
    <w:semiHidden/>
    <w:unhideWhenUsed/>
    <w:rsid w:val="00C1337D"/>
    <w:rPr>
      <w:b/>
      <w:bCs/>
    </w:rPr>
  </w:style>
  <w:style w:type="character" w:customStyle="1" w:styleId="CommentSubjectChar">
    <w:name w:val="Comment Subject Char"/>
    <w:basedOn w:val="CommentTextChar"/>
    <w:link w:val="CommentSubject"/>
    <w:uiPriority w:val="99"/>
    <w:semiHidden/>
    <w:rsid w:val="00C1337D"/>
    <w:rPr>
      <w:b/>
      <w:bCs/>
      <w:sz w:val="20"/>
      <w:szCs w:val="20"/>
    </w:rPr>
  </w:style>
  <w:style w:type="character" w:styleId="Hyperlink">
    <w:name w:val="Hyperlink"/>
    <w:basedOn w:val="DefaultParagraphFont"/>
    <w:uiPriority w:val="99"/>
    <w:unhideWhenUsed/>
    <w:rsid w:val="003B2A39"/>
    <w:rPr>
      <w:color w:val="0000FF" w:themeColor="hyperlink"/>
      <w:u w:val="single"/>
    </w:rPr>
  </w:style>
  <w:style w:type="paragraph" w:styleId="Header">
    <w:name w:val="header"/>
    <w:basedOn w:val="Normal"/>
    <w:link w:val="HeaderChar"/>
    <w:uiPriority w:val="99"/>
    <w:unhideWhenUsed/>
    <w:rsid w:val="003B2A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3B2A39"/>
  </w:style>
  <w:style w:type="paragraph" w:styleId="Footer">
    <w:name w:val="footer"/>
    <w:basedOn w:val="Normal"/>
    <w:link w:val="FooterChar"/>
    <w:uiPriority w:val="99"/>
    <w:unhideWhenUsed/>
    <w:rsid w:val="003B2A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3B2A39"/>
  </w:style>
  <w:style w:type="paragraph" w:styleId="Subtitle">
    <w:name w:val="Subtitle"/>
    <w:basedOn w:val="Normal"/>
    <w:next w:val="Normal"/>
    <w:link w:val="SubtitleChar"/>
    <w:uiPriority w:val="11"/>
    <w:qFormat/>
    <w:rsid w:val="00FE5B19"/>
    <w:pPr>
      <w:numPr>
        <w:ilvl w:val="1"/>
      </w:numPr>
      <w:spacing w:after="120" w:line="300" w:lineRule="auto"/>
      <w:jc w:val="center"/>
    </w:pPr>
    <w:rPr>
      <w:rFonts w:eastAsiaTheme="majorEastAsia" w:cstheme="majorBidi"/>
      <w:iCs/>
      <w:color w:val="000000" w:themeColor="text1"/>
      <w:spacing w:val="15"/>
      <w:sz w:val="28"/>
      <w:szCs w:val="28"/>
      <w:lang w:eastAsia="pt-PT"/>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FE5B19"/>
    <w:rPr>
      <w:rFonts w:eastAsiaTheme="majorEastAsia" w:cstheme="majorBidi"/>
      <w:iCs/>
      <w:color w:val="000000" w:themeColor="text1"/>
      <w:spacing w:val="15"/>
      <w:sz w:val="28"/>
      <w:szCs w:val="28"/>
      <w:lang w:eastAsia="pt-PT"/>
      <w14:textFill>
        <w14:solidFill>
          <w14:schemeClr w14:val="tx1">
            <w14:lumMod w14:val="65000"/>
            <w14:lumOff w14:val="35000"/>
            <w14:lumMod w14:val="50000"/>
          </w14:schemeClr>
        </w14:solidFill>
      </w14:textFill>
    </w:rPr>
  </w:style>
  <w:style w:type="character" w:customStyle="1" w:styleId="Heading1Char">
    <w:name w:val="Heading 1 Char"/>
    <w:basedOn w:val="DefaultParagraphFont"/>
    <w:link w:val="Heading1"/>
    <w:uiPriority w:val="9"/>
    <w:rsid w:val="0052197A"/>
    <w:rPr>
      <w:rFonts w:eastAsiaTheme="majorEastAsia" w:cstheme="majorBidi"/>
      <w:b/>
      <w:caps/>
      <w:color w:val="E36C0A" w:themeColor="accent6" w:themeShade="BF"/>
      <w:spacing w:val="20"/>
      <w:sz w:val="32"/>
      <w:szCs w:val="32"/>
      <w:lang w:eastAsia="pt-PT"/>
    </w:rPr>
  </w:style>
  <w:style w:type="paragraph" w:styleId="TOCHeading">
    <w:name w:val="TOC Heading"/>
    <w:basedOn w:val="Heading1"/>
    <w:next w:val="Normal"/>
    <w:uiPriority w:val="39"/>
    <w:semiHidden/>
    <w:unhideWhenUsed/>
    <w:qFormat/>
    <w:rsid w:val="0052197A"/>
    <w:pPr>
      <w:spacing w:before="480" w:line="276" w:lineRule="auto"/>
      <w:outlineLvl w:val="9"/>
    </w:pPr>
    <w:rPr>
      <w:rFonts w:asciiTheme="majorHAnsi" w:hAnsiTheme="majorHAnsi"/>
      <w:bCs/>
      <w:caps w:val="0"/>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52197A"/>
    <w:pPr>
      <w:spacing w:after="100"/>
    </w:pPr>
  </w:style>
  <w:style w:type="paragraph" w:styleId="Revision">
    <w:name w:val="Revision"/>
    <w:hidden/>
    <w:uiPriority w:val="99"/>
    <w:semiHidden/>
    <w:rsid w:val="00954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ge.mec.pt/aprendizagens-essenciais-ensino-basi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CCCB-1B5F-444D-9636-E154A424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2654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PARALELISMO - Metas Curriculares e Aprendizagens essenciais</vt:lpstr>
    </vt:vector>
  </TitlesOfParts>
  <Company>LeYa</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PARALELISMO - Metas Curriculares e Aprendizagens essenciais</dc:title>
  <dc:creator>Hugo Moreira</dc:creator>
  <cp:lastModifiedBy>Maria Luísa Aguiar Vital</cp:lastModifiedBy>
  <cp:revision>4</cp:revision>
  <cp:lastPrinted>2018-08-20T16:44:00Z</cp:lastPrinted>
  <dcterms:created xsi:type="dcterms:W3CDTF">2018-08-29T14:11:00Z</dcterms:created>
  <dcterms:modified xsi:type="dcterms:W3CDTF">2018-08-29T16:07:00Z</dcterms:modified>
</cp:coreProperties>
</file>